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9FD7" w14:textId="77777777" w:rsidR="00903BC0" w:rsidRDefault="00903BC0" w:rsidP="00903B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Pedagogická fakulta Univerzity Karlovy</w:t>
      </w:r>
    </w:p>
    <w:p w14:paraId="1E21B3AE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0DF6D303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5109C16D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7E4E5A4C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1EEAFE70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382FC6A9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1BE50F2C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3D83D34A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054DA297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0E633321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0EAD3C47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26EE279E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1972983D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5C472CB5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318AFFB6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3C80A86F" w14:textId="77777777" w:rsidR="00903BC0" w:rsidRDefault="00903BC0" w:rsidP="00903BC0">
      <w:pPr>
        <w:spacing w:line="360" w:lineRule="auto"/>
        <w:jc w:val="center"/>
        <w:rPr>
          <w:b/>
          <w:bCs/>
          <w:sz w:val="28"/>
          <w:szCs w:val="28"/>
        </w:rPr>
      </w:pPr>
    </w:p>
    <w:p w14:paraId="2ECA7075" w14:textId="77777777" w:rsidR="00903BC0" w:rsidRPr="00352759" w:rsidRDefault="00903BC0" w:rsidP="00903BC0">
      <w:pPr>
        <w:spacing w:line="360" w:lineRule="auto"/>
        <w:jc w:val="center"/>
        <w:rPr>
          <w:b/>
          <w:bCs/>
          <w:sz w:val="28"/>
          <w:szCs w:val="28"/>
        </w:rPr>
      </w:pPr>
      <w:r w:rsidRPr="00352759">
        <w:rPr>
          <w:b/>
          <w:bCs/>
          <w:sz w:val="28"/>
          <w:szCs w:val="28"/>
        </w:rPr>
        <w:t xml:space="preserve">Zpráva o průběhu hodnocení vzdělávací činnosti studenty </w:t>
      </w:r>
    </w:p>
    <w:p w14:paraId="274912F2" w14:textId="77777777" w:rsidR="00903BC0" w:rsidRPr="00352759" w:rsidRDefault="00903BC0" w:rsidP="00903BC0">
      <w:pPr>
        <w:spacing w:line="360" w:lineRule="auto"/>
        <w:jc w:val="center"/>
        <w:rPr>
          <w:b/>
          <w:bCs/>
          <w:sz w:val="28"/>
          <w:szCs w:val="28"/>
        </w:rPr>
      </w:pPr>
      <w:r w:rsidRPr="00352759">
        <w:rPr>
          <w:b/>
          <w:bCs/>
          <w:sz w:val="28"/>
          <w:szCs w:val="28"/>
        </w:rPr>
        <w:t>na Pedagogické fakultě UK</w:t>
      </w:r>
    </w:p>
    <w:p w14:paraId="39688A9B" w14:textId="77777777" w:rsidR="00903BC0" w:rsidRDefault="00903BC0" w:rsidP="00903B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akademický rok 201</w:t>
      </w:r>
      <w:r w:rsidR="00C900A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C900A1">
        <w:rPr>
          <w:b/>
          <w:bCs/>
          <w:sz w:val="28"/>
          <w:szCs w:val="28"/>
        </w:rPr>
        <w:t>8</w:t>
      </w:r>
    </w:p>
    <w:p w14:paraId="7A9A3B17" w14:textId="77777777" w:rsidR="00903BC0" w:rsidRDefault="00903BC0" w:rsidP="00903BC0">
      <w:pPr>
        <w:spacing w:line="360" w:lineRule="auto"/>
        <w:jc w:val="center"/>
        <w:rPr>
          <w:b/>
          <w:bCs/>
          <w:sz w:val="28"/>
          <w:szCs w:val="28"/>
        </w:rPr>
      </w:pPr>
    </w:p>
    <w:p w14:paraId="09D9D8F2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05646B7F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787CA7B9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613B5413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3C153E16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15FB9C06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709D5756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5F2C712E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46FEE420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3B82877A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199423B9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632B1FDC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087228D8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1E95ABDB" w14:textId="77777777" w:rsidR="00903BC0" w:rsidRDefault="00903BC0" w:rsidP="00352759">
      <w:pPr>
        <w:spacing w:line="276" w:lineRule="auto"/>
        <w:jc w:val="center"/>
        <w:rPr>
          <w:b/>
          <w:bCs/>
          <w:sz w:val="28"/>
          <w:szCs w:val="28"/>
        </w:rPr>
      </w:pPr>
    </w:p>
    <w:p w14:paraId="6EEEABAD" w14:textId="77777777" w:rsidR="00903BC0" w:rsidRDefault="00A5775A" w:rsidP="0035275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Praha 201</w:t>
      </w:r>
      <w:r w:rsidR="0029059C">
        <w:rPr>
          <w:b/>
          <w:bCs/>
          <w:sz w:val="28"/>
          <w:szCs w:val="28"/>
        </w:rPr>
        <w:t>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69599815"/>
        <w:docPartObj>
          <w:docPartGallery w:val="Table of Contents"/>
          <w:docPartUnique/>
        </w:docPartObj>
      </w:sdtPr>
      <w:sdtEndPr/>
      <w:sdtContent>
        <w:p w14:paraId="553CF1C0" w14:textId="77777777" w:rsidR="00FD132D" w:rsidRPr="0025729F" w:rsidRDefault="00FD132D">
          <w:pPr>
            <w:pStyle w:val="Nadpisobsahu"/>
            <w:rPr>
              <w:rFonts w:ascii="Times New Roman" w:hAnsi="Times New Roman" w:cs="Times New Roman"/>
            </w:rPr>
          </w:pPr>
          <w:r w:rsidRPr="0025729F">
            <w:rPr>
              <w:rFonts w:ascii="Times New Roman" w:hAnsi="Times New Roman" w:cs="Times New Roman"/>
              <w:color w:val="auto"/>
            </w:rPr>
            <w:t>Obsah</w:t>
          </w:r>
        </w:p>
        <w:p w14:paraId="1E132DCA" w14:textId="77777777" w:rsidR="0025729F" w:rsidRPr="0025729F" w:rsidRDefault="005E4AE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r w:rsidRPr="0025729F">
            <w:rPr>
              <w:rFonts w:ascii="Times New Roman" w:hAnsi="Times New Roman" w:cs="Times New Roman"/>
            </w:rPr>
            <w:fldChar w:fldCharType="begin"/>
          </w:r>
          <w:r w:rsidR="00FD132D" w:rsidRPr="0025729F">
            <w:rPr>
              <w:rFonts w:ascii="Times New Roman" w:hAnsi="Times New Roman" w:cs="Times New Roman"/>
            </w:rPr>
            <w:instrText xml:space="preserve"> TOC \o "1-3" \h \z \u </w:instrText>
          </w:r>
          <w:r w:rsidRPr="0025729F">
            <w:rPr>
              <w:rFonts w:ascii="Times New Roman" w:hAnsi="Times New Roman" w:cs="Times New Roman"/>
            </w:rPr>
            <w:fldChar w:fldCharType="separate"/>
          </w:r>
          <w:hyperlink w:anchor="_Toc501108811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Část I.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_Toc501108811 \h </w:instrText>
            </w:r>
            <w:r w:rsidRPr="0025729F">
              <w:rPr>
                <w:rFonts w:ascii="Times New Roman" w:hAnsi="Times New Roman" w:cs="Times New Roman"/>
                <w:noProof/>
                <w:webHidden/>
              </w:rPr>
            </w:r>
            <w:r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D06C75" w14:textId="77777777" w:rsidR="0025729F" w:rsidRPr="0025729F" w:rsidRDefault="00102E6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2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Hodnocení výuky v bakalářských a magisterských studijních programech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_Toc501108812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DDA8AF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3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a)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Vymezení příslušného vnitřního předpisu fakulty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_Toc501108813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9D15CA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4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b)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Odpovědnost za realizaci hodnocení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_Toc501108814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59ECE1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5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c)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Obsah hodnocení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_Toc501108815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E14F5F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6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d)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Způsob sběru dat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_Toc501108816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AEF555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7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e)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Frekvence sběru dat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_Toc501108817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06A79A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8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f)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Návratnost dotazníků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_Toc501108818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58A419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19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g)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Způsob, forma zpracování a vyhodnocení výsledků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_Toc501108819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9C3529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0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Hlavní závěry hodnocení a jejich zohlednění ve vzdělávací činnosti fakulty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_Toc501108820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B05D2F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1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i)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Způsob projednávání výsledků hodnocení s vyučujícími a vedoucími pracovišť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_Toc501108821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F38E26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2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j)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Dostupnost výsledků pro studenty, vyučující a vedoucí pracovišť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_Toc501108822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A0F284" w14:textId="77777777" w:rsidR="0025729F" w:rsidRPr="0025729F" w:rsidRDefault="00102E6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3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Část II.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_Toc501108823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8479F5" w14:textId="77777777" w:rsidR="0025729F" w:rsidRPr="0025729F" w:rsidRDefault="00102E6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4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Hodnocení výuky v doktorských studijních programech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_Toc501108824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479B32" w14:textId="77777777" w:rsidR="0025729F" w:rsidRPr="0025729F" w:rsidRDefault="00102E6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5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Část III.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_Toc501108825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19BC48" w14:textId="77777777" w:rsidR="0025729F" w:rsidRPr="0025729F" w:rsidRDefault="00102E6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6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Další hodnocení vzdělávací činnosti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_Toc501108826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58FE62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7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a)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Hodnocení zabezpečení studia a dalších souvisejících podpůrných činností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_Toc501108827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23C27A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8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b)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Hodnocení vzdělávací činnosti zahraničními studenty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_Toc501108828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E8AA19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29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c)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Hodnocení vzdělávací činnosti studenty se speciálními potřebami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_Toc501108829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D24A96" w14:textId="77777777" w:rsidR="0025729F" w:rsidRPr="0025729F" w:rsidRDefault="00102E68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30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d)</w:t>
            </w:r>
            <w:r w:rsidR="0025729F" w:rsidRPr="0025729F">
              <w:rPr>
                <w:rFonts w:ascii="Times New Roman" w:hAnsi="Times New Roman" w:cs="Times New Roman"/>
                <w:noProof/>
                <w:lang w:eastAsia="cs-CZ"/>
              </w:rPr>
              <w:tab/>
            </w:r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Hodnocení vzdělávací činnosti absolventy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_Toc501108830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843D99" w14:textId="77777777" w:rsidR="0025729F" w:rsidRPr="0025729F" w:rsidRDefault="00102E6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31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Část IV.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_Toc501108831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3C0002" w14:textId="77777777" w:rsidR="0025729F" w:rsidRPr="0025729F" w:rsidRDefault="00102E68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lang w:eastAsia="cs-CZ"/>
            </w:rPr>
          </w:pPr>
          <w:hyperlink w:anchor="_Toc501108832" w:history="1">
            <w:r w:rsidR="0025729F" w:rsidRPr="0025729F">
              <w:rPr>
                <w:rStyle w:val="Hypertextovodkaz"/>
                <w:rFonts w:ascii="Times New Roman" w:hAnsi="Times New Roman" w:cs="Times New Roman"/>
                <w:noProof/>
              </w:rPr>
              <w:t>Změny v hodnocení vzdělávací činnosti</w:t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instrText xml:space="preserve"> PAGEREF _Toc501108832 \h </w:instrTex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5729F" w:rsidRPr="0025729F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5E4AE5" w:rsidRPr="0025729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91601" w14:textId="77777777" w:rsidR="00FD132D" w:rsidRDefault="005E4AE5">
          <w:r w:rsidRPr="0025729F">
            <w:fldChar w:fldCharType="end"/>
          </w:r>
        </w:p>
      </w:sdtContent>
    </w:sdt>
    <w:p w14:paraId="762E16ED" w14:textId="77777777" w:rsidR="00903BC0" w:rsidRDefault="00903BC0" w:rsidP="00352759">
      <w:pPr>
        <w:spacing w:line="276" w:lineRule="auto"/>
        <w:jc w:val="both"/>
        <w:outlineLvl w:val="3"/>
        <w:rPr>
          <w:b/>
          <w:sz w:val="28"/>
          <w:szCs w:val="28"/>
        </w:rPr>
      </w:pPr>
    </w:p>
    <w:p w14:paraId="613277F5" w14:textId="77777777" w:rsidR="00903BC0" w:rsidRDefault="00903BC0" w:rsidP="00352759">
      <w:pPr>
        <w:spacing w:line="276" w:lineRule="auto"/>
        <w:jc w:val="both"/>
        <w:outlineLvl w:val="3"/>
        <w:rPr>
          <w:b/>
          <w:sz w:val="28"/>
          <w:szCs w:val="28"/>
        </w:rPr>
      </w:pPr>
    </w:p>
    <w:p w14:paraId="6830E790" w14:textId="77777777" w:rsidR="00903BC0" w:rsidRDefault="00903BC0" w:rsidP="00352759">
      <w:pPr>
        <w:spacing w:line="276" w:lineRule="auto"/>
        <w:jc w:val="both"/>
        <w:outlineLvl w:val="3"/>
        <w:rPr>
          <w:b/>
          <w:sz w:val="28"/>
          <w:szCs w:val="28"/>
        </w:rPr>
      </w:pPr>
    </w:p>
    <w:p w14:paraId="37307F4A" w14:textId="77777777" w:rsidR="00903BC0" w:rsidRDefault="00903BC0" w:rsidP="00352759">
      <w:pPr>
        <w:spacing w:line="276" w:lineRule="auto"/>
        <w:jc w:val="both"/>
        <w:outlineLvl w:val="3"/>
        <w:rPr>
          <w:b/>
          <w:sz w:val="28"/>
          <w:szCs w:val="28"/>
        </w:rPr>
      </w:pPr>
    </w:p>
    <w:p w14:paraId="5A901D03" w14:textId="77777777" w:rsidR="00903BC0" w:rsidRDefault="00903BC0" w:rsidP="00352759">
      <w:pPr>
        <w:spacing w:line="276" w:lineRule="auto"/>
        <w:jc w:val="both"/>
        <w:outlineLvl w:val="3"/>
        <w:rPr>
          <w:b/>
          <w:sz w:val="28"/>
          <w:szCs w:val="28"/>
        </w:rPr>
      </w:pPr>
    </w:p>
    <w:p w14:paraId="65B5E1D7" w14:textId="77777777" w:rsidR="00903BC0" w:rsidRDefault="00903BC0" w:rsidP="00352759">
      <w:pPr>
        <w:spacing w:line="276" w:lineRule="auto"/>
        <w:jc w:val="both"/>
        <w:outlineLvl w:val="3"/>
        <w:rPr>
          <w:b/>
          <w:sz w:val="28"/>
          <w:szCs w:val="28"/>
        </w:rPr>
      </w:pPr>
    </w:p>
    <w:p w14:paraId="0DA5E893" w14:textId="77777777" w:rsidR="00903BC0" w:rsidRDefault="00903BC0" w:rsidP="00352759">
      <w:pPr>
        <w:spacing w:line="276" w:lineRule="auto"/>
        <w:jc w:val="both"/>
        <w:outlineLvl w:val="3"/>
        <w:rPr>
          <w:b/>
          <w:sz w:val="28"/>
          <w:szCs w:val="28"/>
        </w:rPr>
      </w:pPr>
    </w:p>
    <w:p w14:paraId="30D7FF5C" w14:textId="77777777" w:rsidR="00A5775A" w:rsidRDefault="00A5775A" w:rsidP="00453B30">
      <w:pPr>
        <w:spacing w:after="120" w:line="276" w:lineRule="auto"/>
        <w:jc w:val="center"/>
        <w:outlineLvl w:val="3"/>
        <w:rPr>
          <w:b/>
          <w:sz w:val="28"/>
          <w:szCs w:val="28"/>
        </w:rPr>
      </w:pPr>
    </w:p>
    <w:p w14:paraId="696C297C" w14:textId="77777777" w:rsidR="00A5775A" w:rsidRDefault="00A5775A" w:rsidP="00453B30">
      <w:pPr>
        <w:spacing w:after="120" w:line="276" w:lineRule="auto"/>
        <w:jc w:val="center"/>
        <w:outlineLvl w:val="3"/>
        <w:rPr>
          <w:b/>
          <w:sz w:val="28"/>
          <w:szCs w:val="28"/>
        </w:rPr>
      </w:pPr>
    </w:p>
    <w:p w14:paraId="75807BAB" w14:textId="77777777" w:rsidR="00A5775A" w:rsidRDefault="00A5775A" w:rsidP="00453B30">
      <w:pPr>
        <w:spacing w:after="120" w:line="276" w:lineRule="auto"/>
        <w:jc w:val="center"/>
        <w:outlineLvl w:val="3"/>
        <w:rPr>
          <w:b/>
          <w:sz w:val="28"/>
          <w:szCs w:val="28"/>
        </w:rPr>
      </w:pPr>
    </w:p>
    <w:p w14:paraId="5D155877" w14:textId="77777777" w:rsidR="00A5775A" w:rsidRDefault="00A5775A" w:rsidP="00453B30">
      <w:pPr>
        <w:spacing w:after="120" w:line="276" w:lineRule="auto"/>
        <w:jc w:val="center"/>
        <w:outlineLvl w:val="3"/>
        <w:rPr>
          <w:b/>
          <w:sz w:val="28"/>
          <w:szCs w:val="28"/>
        </w:rPr>
      </w:pPr>
    </w:p>
    <w:p w14:paraId="16EFA520" w14:textId="77777777" w:rsidR="00453B30" w:rsidRPr="0025729F" w:rsidRDefault="00062E35" w:rsidP="00FD132D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0" w:name="_Toc501108212"/>
      <w:bookmarkStart w:id="1" w:name="_Toc501108354"/>
      <w:bookmarkStart w:id="2" w:name="_Toc501108811"/>
      <w:r w:rsidRPr="0025729F">
        <w:rPr>
          <w:rFonts w:ascii="Times New Roman" w:hAnsi="Times New Roman" w:cs="Times New Roman"/>
          <w:color w:val="auto"/>
        </w:rPr>
        <w:lastRenderedPageBreak/>
        <w:t>Část I.</w:t>
      </w:r>
      <w:bookmarkEnd w:id="0"/>
      <w:bookmarkEnd w:id="1"/>
      <w:bookmarkEnd w:id="2"/>
    </w:p>
    <w:p w14:paraId="029E7294" w14:textId="77777777" w:rsidR="00062E35" w:rsidRDefault="00417CAD" w:rsidP="00FD132D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3" w:name="_Toc501108213"/>
      <w:bookmarkStart w:id="4" w:name="_Toc501108812"/>
      <w:r w:rsidRPr="0025729F">
        <w:rPr>
          <w:rFonts w:ascii="Times New Roman" w:hAnsi="Times New Roman" w:cs="Times New Roman"/>
          <w:color w:val="auto"/>
        </w:rPr>
        <w:t>Hodnocení výuky v bakalářských a magisterských studijních programech</w:t>
      </w:r>
      <w:bookmarkEnd w:id="3"/>
      <w:bookmarkEnd w:id="4"/>
    </w:p>
    <w:p w14:paraId="139E42DA" w14:textId="77777777" w:rsidR="0025729F" w:rsidRPr="0025729F" w:rsidRDefault="0025729F" w:rsidP="0025729F"/>
    <w:p w14:paraId="397769AF" w14:textId="77777777" w:rsidR="00417CAD" w:rsidRPr="0025729F" w:rsidRDefault="00417CAD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5" w:name="_Toc501108214"/>
      <w:bookmarkStart w:id="6" w:name="_Toc501108813"/>
      <w:r w:rsidRPr="0025729F">
        <w:rPr>
          <w:rFonts w:ascii="Times New Roman" w:hAnsi="Times New Roman" w:cs="Times New Roman"/>
          <w:color w:val="auto"/>
        </w:rPr>
        <w:t>Vymezení přísluš</w:t>
      </w:r>
      <w:r w:rsidR="00D42D19" w:rsidRPr="0025729F">
        <w:rPr>
          <w:rFonts w:ascii="Times New Roman" w:hAnsi="Times New Roman" w:cs="Times New Roman"/>
          <w:color w:val="auto"/>
        </w:rPr>
        <w:t>ného vnitřního předpisu fakul</w:t>
      </w:r>
      <w:r w:rsidR="00A5775A" w:rsidRPr="0025729F">
        <w:rPr>
          <w:rFonts w:ascii="Times New Roman" w:hAnsi="Times New Roman" w:cs="Times New Roman"/>
          <w:color w:val="auto"/>
        </w:rPr>
        <w:t>ty</w:t>
      </w:r>
      <w:bookmarkEnd w:id="5"/>
      <w:bookmarkEnd w:id="6"/>
    </w:p>
    <w:p w14:paraId="351E29CE" w14:textId="77777777" w:rsidR="00417CAD" w:rsidRPr="0025729F" w:rsidRDefault="0002305B" w:rsidP="00352759">
      <w:pPr>
        <w:spacing w:line="276" w:lineRule="auto"/>
        <w:jc w:val="both"/>
        <w:outlineLvl w:val="3"/>
      </w:pPr>
      <w:r w:rsidRPr="0025729F">
        <w:t xml:space="preserve">Hodnocení výuky studenty se </w:t>
      </w:r>
      <w:r w:rsidR="007463EE" w:rsidRPr="0025729F">
        <w:t>v</w:t>
      </w:r>
      <w:r w:rsidR="000A47CD">
        <w:t> </w:t>
      </w:r>
      <w:r w:rsidR="007463EE" w:rsidRPr="0025729F">
        <w:t>ak</w:t>
      </w:r>
      <w:r w:rsidR="000A47CD">
        <w:t>ademickém</w:t>
      </w:r>
      <w:r w:rsidR="007463EE" w:rsidRPr="0025729F">
        <w:t xml:space="preserve"> roce 201</w:t>
      </w:r>
      <w:r w:rsidR="00C900A1">
        <w:t>7</w:t>
      </w:r>
      <w:r w:rsidR="007463EE" w:rsidRPr="0025729F">
        <w:t>/201</w:t>
      </w:r>
      <w:r w:rsidR="00C900A1">
        <w:t>8</w:t>
      </w:r>
      <w:r w:rsidR="007463EE" w:rsidRPr="0025729F">
        <w:t xml:space="preserve"> </w:t>
      </w:r>
      <w:r w:rsidRPr="0025729F">
        <w:t>říd</w:t>
      </w:r>
      <w:r w:rsidR="007463EE" w:rsidRPr="0025729F">
        <w:t>ilo</w:t>
      </w:r>
      <w:r w:rsidRPr="0025729F">
        <w:t xml:space="preserve"> podle </w:t>
      </w:r>
      <w:r w:rsidR="00417CAD" w:rsidRPr="0025729F">
        <w:t>Opatření děkana č. 5/2014</w:t>
      </w:r>
      <w:r w:rsidR="008866CF">
        <w:t xml:space="preserve"> a podle Řádu pro hodnocení vzdělávací činnosti studenty a absolventy UK.</w:t>
      </w:r>
    </w:p>
    <w:p w14:paraId="61368566" w14:textId="77777777" w:rsidR="0002305B" w:rsidRPr="0025729F" w:rsidRDefault="0002305B" w:rsidP="00352759">
      <w:pPr>
        <w:pStyle w:val="Default"/>
        <w:spacing w:line="276" w:lineRule="auto"/>
        <w:rPr>
          <w:color w:val="auto"/>
        </w:rPr>
      </w:pPr>
    </w:p>
    <w:p w14:paraId="03A8716D" w14:textId="77777777" w:rsidR="0002305B" w:rsidRPr="0025729F" w:rsidRDefault="00453B30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7" w:name="_Toc501108215"/>
      <w:bookmarkStart w:id="8" w:name="_Toc501108814"/>
      <w:r w:rsidRPr="0025729F">
        <w:rPr>
          <w:rFonts w:ascii="Times New Roman" w:hAnsi="Times New Roman" w:cs="Times New Roman"/>
          <w:color w:val="auto"/>
        </w:rPr>
        <w:t>O</w:t>
      </w:r>
      <w:r w:rsidR="0002305B" w:rsidRPr="0025729F">
        <w:rPr>
          <w:rFonts w:ascii="Times New Roman" w:hAnsi="Times New Roman" w:cs="Times New Roman"/>
          <w:color w:val="auto"/>
        </w:rPr>
        <w:t>dpovědnost za realizaci hodnocení</w:t>
      </w:r>
      <w:bookmarkEnd w:id="7"/>
      <w:bookmarkEnd w:id="8"/>
      <w:r w:rsidR="0002305B" w:rsidRPr="0025729F">
        <w:rPr>
          <w:rFonts w:ascii="Times New Roman" w:hAnsi="Times New Roman" w:cs="Times New Roman"/>
          <w:color w:val="auto"/>
        </w:rPr>
        <w:t xml:space="preserve"> </w:t>
      </w:r>
    </w:p>
    <w:p w14:paraId="70140E21" w14:textId="57DAA76F" w:rsidR="004F6879" w:rsidRPr="0025729F" w:rsidRDefault="004F6879" w:rsidP="00352759">
      <w:pPr>
        <w:spacing w:line="276" w:lineRule="auto"/>
        <w:jc w:val="both"/>
      </w:pPr>
      <w:r w:rsidRPr="0025729F">
        <w:t xml:space="preserve">Hodnocení výuky studenty na </w:t>
      </w:r>
      <w:proofErr w:type="spellStart"/>
      <w:r w:rsidR="00700AAD" w:rsidRPr="0025729F">
        <w:t>PedF</w:t>
      </w:r>
      <w:proofErr w:type="spellEnd"/>
      <w:r w:rsidR="00700AAD" w:rsidRPr="0025729F">
        <w:t xml:space="preserve"> </w:t>
      </w:r>
      <w:r w:rsidRPr="0025729F">
        <w:t xml:space="preserve">UK koncepčně a organizačně řídí vedení fakulty, především proděkanky pro studijní záležitosti, a to ve spolupráci s </w:t>
      </w:r>
      <w:r w:rsidR="00CE4EDB" w:rsidRPr="0025729F">
        <w:t>K</w:t>
      </w:r>
      <w:r w:rsidRPr="0025729F">
        <w:t xml:space="preserve">omisí pro hodnocení výuky studenty (dále jen komise). Tato komise je složena ze zástupců kolegia děkana (studijní proděkanky a proděkan pro rozvoj), ze zástupců akademického senátu </w:t>
      </w:r>
      <w:proofErr w:type="spellStart"/>
      <w:r w:rsidRPr="0025729F">
        <w:t>PedF</w:t>
      </w:r>
      <w:proofErr w:type="spellEnd"/>
      <w:r w:rsidRPr="0025729F">
        <w:t xml:space="preserve"> UK</w:t>
      </w:r>
      <w:r w:rsidR="00265FE7" w:rsidRPr="0025729F">
        <w:t xml:space="preserve"> </w:t>
      </w:r>
      <w:r w:rsidRPr="0025729F">
        <w:t>a zástupců studentských oborových rad</w:t>
      </w:r>
      <w:r w:rsidR="00CE4EDB" w:rsidRPr="0025729F">
        <w:t>.</w:t>
      </w:r>
      <w:r w:rsidR="00D52299" w:rsidRPr="0025729F">
        <w:t xml:space="preserve"> </w:t>
      </w:r>
      <w:r w:rsidR="00CE4EDB" w:rsidRPr="0025729F">
        <w:t>Č</w:t>
      </w:r>
      <w:r w:rsidR="00D52299" w:rsidRPr="0025729F">
        <w:t>leny jmenuje děkan na základě návrhu kolegia, akademického senátu a studentských oborových rad.</w:t>
      </w:r>
      <w:r w:rsidRPr="0025729F">
        <w:t xml:space="preserve"> V</w:t>
      </w:r>
      <w:r w:rsidR="000A47CD">
        <w:t> </w:t>
      </w:r>
      <w:r w:rsidRPr="0025729F">
        <w:t>ak</w:t>
      </w:r>
      <w:r w:rsidR="000A47CD">
        <w:t xml:space="preserve">ademickém </w:t>
      </w:r>
      <w:r w:rsidRPr="0025729F">
        <w:t>roce</w:t>
      </w:r>
      <w:r w:rsidR="00CE4EDB" w:rsidRPr="0025729F">
        <w:t xml:space="preserve"> 201</w:t>
      </w:r>
      <w:r w:rsidR="00C900A1">
        <w:t>7</w:t>
      </w:r>
      <w:r w:rsidR="00CE4EDB" w:rsidRPr="0025729F">
        <w:t>/201</w:t>
      </w:r>
      <w:r w:rsidR="00C900A1">
        <w:t>8</w:t>
      </w:r>
      <w:r w:rsidRPr="0025729F">
        <w:t xml:space="preserve"> měla komise </w:t>
      </w:r>
      <w:r w:rsidR="004B51BC">
        <w:t xml:space="preserve">v zimním semestru </w:t>
      </w:r>
      <w:r w:rsidRPr="00750E17">
        <w:t>1</w:t>
      </w:r>
      <w:r w:rsidR="00CE4EDB" w:rsidRPr="00750E17">
        <w:t>2</w:t>
      </w:r>
      <w:r w:rsidRPr="00750E17">
        <w:t xml:space="preserve"> členů</w:t>
      </w:r>
      <w:r w:rsidR="00CE4EDB" w:rsidRPr="00750E17">
        <w:t>, z toho 7 studentů a 5 akademiků</w:t>
      </w:r>
      <w:r w:rsidR="004B51BC">
        <w:t>, od letního semestru pracovala komise v poměru 7 studentů a 6 akademických pracovníků</w:t>
      </w:r>
      <w:r w:rsidRPr="0025729F">
        <w:t>. Komise se schází pravidelně</w:t>
      </w:r>
      <w:r w:rsidR="00314334">
        <w:t>,</w:t>
      </w:r>
      <w:r w:rsidRPr="0025729F">
        <w:t xml:space="preserve"> několikrát při přípravě hodnocení </w:t>
      </w:r>
      <w:r w:rsidR="00CE4EDB" w:rsidRPr="0025729F">
        <w:t>v každém</w:t>
      </w:r>
      <w:r w:rsidRPr="0025729F">
        <w:t xml:space="preserve"> semestr</w:t>
      </w:r>
      <w:r w:rsidR="00CE4EDB" w:rsidRPr="0025729F">
        <w:t>u</w:t>
      </w:r>
      <w:r w:rsidRPr="0025729F">
        <w:t xml:space="preserve"> a jednou po ukončení ankety, kdy probíhá evaluace celého procesu hodnocení.</w:t>
      </w:r>
      <w:r w:rsidR="00CE4EDB" w:rsidRPr="0025729F">
        <w:t xml:space="preserve"> </w:t>
      </w:r>
      <w:r w:rsidRPr="0025729F">
        <w:t xml:space="preserve">Na </w:t>
      </w:r>
      <w:r w:rsidR="00B47E07" w:rsidRPr="0025729F">
        <w:t xml:space="preserve">obsahových úpravách se </w:t>
      </w:r>
      <w:r w:rsidRPr="0025729F">
        <w:t xml:space="preserve">vždy podílejí i garanti studijních programů.  </w:t>
      </w:r>
    </w:p>
    <w:p w14:paraId="4C6EF648" w14:textId="77777777" w:rsidR="00D52299" w:rsidRPr="0025729F" w:rsidRDefault="00D52299" w:rsidP="00352759">
      <w:pPr>
        <w:pStyle w:val="Default"/>
        <w:spacing w:line="276" w:lineRule="auto"/>
        <w:rPr>
          <w:color w:val="auto"/>
        </w:rPr>
      </w:pPr>
    </w:p>
    <w:p w14:paraId="57EB1061" w14:textId="77777777" w:rsidR="00D52299" w:rsidRPr="0025729F" w:rsidRDefault="00453B30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9" w:name="_Toc501108815"/>
      <w:r w:rsidRPr="0025729F">
        <w:rPr>
          <w:rFonts w:ascii="Times New Roman" w:hAnsi="Times New Roman" w:cs="Times New Roman"/>
          <w:color w:val="auto"/>
        </w:rPr>
        <w:t>O</w:t>
      </w:r>
      <w:r w:rsidR="00D52299" w:rsidRPr="0025729F">
        <w:rPr>
          <w:rFonts w:ascii="Times New Roman" w:hAnsi="Times New Roman" w:cs="Times New Roman"/>
          <w:color w:val="auto"/>
        </w:rPr>
        <w:t>bsah hodn</w:t>
      </w:r>
      <w:r w:rsidR="00D42D19" w:rsidRPr="0025729F">
        <w:rPr>
          <w:rFonts w:ascii="Times New Roman" w:hAnsi="Times New Roman" w:cs="Times New Roman"/>
          <w:color w:val="auto"/>
        </w:rPr>
        <w:t>ocení</w:t>
      </w:r>
      <w:bookmarkEnd w:id="9"/>
      <w:r w:rsidR="00D42D19" w:rsidRPr="0025729F">
        <w:rPr>
          <w:rFonts w:ascii="Times New Roman" w:hAnsi="Times New Roman" w:cs="Times New Roman"/>
          <w:color w:val="auto"/>
        </w:rPr>
        <w:t xml:space="preserve"> </w:t>
      </w:r>
    </w:p>
    <w:p w14:paraId="6FE04C7A" w14:textId="77777777" w:rsidR="00A95316" w:rsidRDefault="00D52299" w:rsidP="00352759">
      <w:pPr>
        <w:spacing w:line="276" w:lineRule="auto"/>
        <w:jc w:val="both"/>
        <w:outlineLvl w:val="3"/>
      </w:pPr>
      <w:r w:rsidRPr="0025729F">
        <w:t xml:space="preserve">Cílem realizovaného hodnocení je </w:t>
      </w:r>
      <w:r w:rsidR="00B47E07" w:rsidRPr="0025729F">
        <w:t xml:space="preserve">obecně </w:t>
      </w:r>
      <w:r w:rsidRPr="0025729F">
        <w:t>zlepšení kvality výuky a její organizace.</w:t>
      </w:r>
      <w:r w:rsidR="00B47E07" w:rsidRPr="0025729F">
        <w:t xml:space="preserve"> </w:t>
      </w:r>
    </w:p>
    <w:p w14:paraId="0AE2CC19" w14:textId="31DC8A61" w:rsidR="0035104A" w:rsidRDefault="004E1434" w:rsidP="00352759">
      <w:pPr>
        <w:spacing w:line="276" w:lineRule="auto"/>
        <w:jc w:val="both"/>
        <w:outlineLvl w:val="3"/>
      </w:pPr>
      <w:r w:rsidRPr="0025729F">
        <w:t xml:space="preserve">V zimním semestru (dále jen ZS) bylo </w:t>
      </w:r>
      <w:r w:rsidR="0021367E" w:rsidRPr="0025729F">
        <w:t xml:space="preserve">studentům </w:t>
      </w:r>
      <w:r w:rsidR="0035104A">
        <w:t xml:space="preserve">bakalářského studia </w:t>
      </w:r>
      <w:r w:rsidRPr="0025729F">
        <w:t xml:space="preserve">položeno </w:t>
      </w:r>
      <w:r w:rsidR="0035104A">
        <w:t>5</w:t>
      </w:r>
      <w:r w:rsidRPr="0025729F">
        <w:t xml:space="preserve"> otázek k</w:t>
      </w:r>
      <w:r w:rsidR="0029059C">
        <w:t> </w:t>
      </w:r>
      <w:r w:rsidRPr="0025729F">
        <w:t>předmětům</w:t>
      </w:r>
      <w:r w:rsidR="0029059C">
        <w:t xml:space="preserve"> (ve srovnání s předchozím rokem se počet otázek snížil a jejich obsah zpřesnil). </w:t>
      </w:r>
      <w:r w:rsidR="00CC5B45">
        <w:t xml:space="preserve">Z toho </w:t>
      </w:r>
      <w:r w:rsidR="005E6E6F">
        <w:t xml:space="preserve">4 </w:t>
      </w:r>
      <w:r w:rsidR="00062BA0">
        <w:t>otázky</w:t>
      </w:r>
      <w:r w:rsidR="005E6E6F">
        <w:t xml:space="preserve"> byly </w:t>
      </w:r>
      <w:proofErr w:type="spellStart"/>
      <w:r w:rsidR="005E6E6F">
        <w:t>škálované</w:t>
      </w:r>
      <w:proofErr w:type="spellEnd"/>
      <w:r w:rsidR="005E6E6F">
        <w:t xml:space="preserve"> (souhlasím, spíše souhlasím, spíše nesouhlasím</w:t>
      </w:r>
      <w:r w:rsidR="00314334">
        <w:t>,</w:t>
      </w:r>
      <w:r w:rsidR="005E6E6F">
        <w:t xml:space="preserve"> nesouhlasím)</w:t>
      </w:r>
      <w:r w:rsidR="00062BA0">
        <w:t xml:space="preserve"> a jedna ve formě textové odpovědi; </w:t>
      </w:r>
      <w:r w:rsidR="001B74FE">
        <w:t>4</w:t>
      </w:r>
      <w:r w:rsidR="00062BA0">
        <w:t xml:space="preserve"> otázky byly povinné, </w:t>
      </w:r>
      <w:r w:rsidR="001B74FE">
        <w:t>1</w:t>
      </w:r>
      <w:r w:rsidR="00062BA0">
        <w:t xml:space="preserve"> nepovinn</w:t>
      </w:r>
      <w:r w:rsidR="00CE0F16">
        <w:t>á</w:t>
      </w:r>
      <w:r w:rsidR="005E6E6F">
        <w:t>.</w:t>
      </w:r>
      <w:r w:rsidR="00062BA0">
        <w:t xml:space="preserve"> O</w:t>
      </w:r>
      <w:r w:rsidRPr="0025729F">
        <w:t xml:space="preserve">tázky </w:t>
      </w:r>
      <w:r w:rsidR="00CE0F16">
        <w:t xml:space="preserve">se </w:t>
      </w:r>
      <w:r w:rsidRPr="0025729F">
        <w:t xml:space="preserve">zaměřovaly na </w:t>
      </w:r>
      <w:r w:rsidR="0029059C">
        <w:t>metody a formy výuky</w:t>
      </w:r>
      <w:r w:rsidR="0035104A">
        <w:t xml:space="preserve">, poskytování </w:t>
      </w:r>
      <w:r w:rsidRPr="0025729F">
        <w:t>informací k</w:t>
      </w:r>
      <w:r w:rsidR="0035104A">
        <w:t>e stanoveným</w:t>
      </w:r>
      <w:r w:rsidRPr="0025729F">
        <w:t> podmínkám pro plnění kontrol studia</w:t>
      </w:r>
      <w:r w:rsidR="004B51BC">
        <w:t xml:space="preserve"> předmětů a</w:t>
      </w:r>
      <w:r w:rsidR="0035104A">
        <w:t xml:space="preserve"> na soulad </w:t>
      </w:r>
      <w:r w:rsidR="004B51BC">
        <w:t>se</w:t>
      </w:r>
      <w:r w:rsidR="0035104A">
        <w:t xml:space="preserve"> </w:t>
      </w:r>
      <w:r w:rsidR="00CC5B45">
        <w:t>stavem jejich reálného ověřování</w:t>
      </w:r>
      <w:r w:rsidR="0035104A">
        <w:t xml:space="preserve"> </w:t>
      </w:r>
      <w:r w:rsidR="00EF1038" w:rsidRPr="0025729F">
        <w:t xml:space="preserve">a </w:t>
      </w:r>
      <w:r w:rsidR="0035104A">
        <w:t xml:space="preserve">také </w:t>
      </w:r>
      <w:r w:rsidR="00314334">
        <w:t xml:space="preserve">na </w:t>
      </w:r>
      <w:r w:rsidR="00EF1038" w:rsidRPr="0025729F">
        <w:t>dostupnost</w:t>
      </w:r>
      <w:r w:rsidR="00314334">
        <w:t xml:space="preserve"> </w:t>
      </w:r>
      <w:r w:rsidR="00EF1038" w:rsidRPr="0025729F">
        <w:t>vyučujícího p</w:t>
      </w:r>
      <w:r w:rsidR="00CC5B45">
        <w:t>ro</w:t>
      </w:r>
      <w:r w:rsidR="00EF1038" w:rsidRPr="0025729F">
        <w:t xml:space="preserve"> poskytování konzultací.</w:t>
      </w:r>
      <w:r w:rsidRPr="0025729F">
        <w:t xml:space="preserve"> </w:t>
      </w:r>
      <w:r w:rsidR="0035104A">
        <w:t>Pátou položku tvořila otevřená otázka, v níž měli studenti možnost reagovat slovním komentářem na výzvu k celkovému hodnocení předmětů včetně doporučení na zlepšení. Studenti magisterského a navazujícího magisterského studia odpov</w:t>
      </w:r>
      <w:r w:rsidR="00062BA0">
        <w:t>ídali</w:t>
      </w:r>
      <w:r w:rsidR="0035104A">
        <w:t xml:space="preserve"> </w:t>
      </w:r>
      <w:r w:rsidR="00832679">
        <w:t xml:space="preserve">navíc </w:t>
      </w:r>
      <w:r w:rsidR="0035104A">
        <w:t>na otázku týkající se přínos</w:t>
      </w:r>
      <w:r w:rsidR="00062BA0">
        <w:t>u</w:t>
      </w:r>
      <w:r w:rsidR="0035104A">
        <w:t xml:space="preserve"> předmětů pro </w:t>
      </w:r>
      <w:r w:rsidR="00314334">
        <w:t xml:space="preserve">jejich </w:t>
      </w:r>
      <w:r w:rsidR="0035104A">
        <w:t>další vzdělávání a budoucí praxi</w:t>
      </w:r>
      <w:r w:rsidR="005E6E6F">
        <w:t xml:space="preserve"> (viz tab. 1)</w:t>
      </w:r>
      <w:r w:rsidR="0035104A">
        <w:t>.</w:t>
      </w:r>
    </w:p>
    <w:p w14:paraId="39BCA496" w14:textId="77777777" w:rsidR="00062BA0" w:rsidRDefault="00062BA0" w:rsidP="00352759">
      <w:pPr>
        <w:spacing w:line="276" w:lineRule="auto"/>
        <w:jc w:val="both"/>
        <w:outlineLvl w:val="3"/>
      </w:pPr>
    </w:p>
    <w:p w14:paraId="1502EF9A" w14:textId="77777777" w:rsidR="00062BA0" w:rsidRDefault="00062BA0" w:rsidP="00062BA0">
      <w:pPr>
        <w:spacing w:line="276" w:lineRule="auto"/>
        <w:jc w:val="both"/>
        <w:outlineLvl w:val="3"/>
      </w:pPr>
      <w:r>
        <w:t xml:space="preserve">Tab. 1 Otázky pro hodnocení </w:t>
      </w:r>
      <w:r w:rsidR="00A95316">
        <w:t xml:space="preserve">výuky předmětů </w:t>
      </w:r>
      <w:r>
        <w:t>v ZS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208"/>
        <w:gridCol w:w="1216"/>
        <w:gridCol w:w="1256"/>
      </w:tblGrid>
      <w:tr w:rsidR="00062BA0" w14:paraId="28E69788" w14:textId="77777777" w:rsidTr="00062BA0">
        <w:tc>
          <w:tcPr>
            <w:tcW w:w="5382" w:type="dxa"/>
            <w:vAlign w:val="center"/>
          </w:tcPr>
          <w:p w14:paraId="2CAEAA02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Otázka</w:t>
            </w:r>
          </w:p>
        </w:tc>
        <w:tc>
          <w:tcPr>
            <w:tcW w:w="1208" w:type="dxa"/>
            <w:vAlign w:val="center"/>
          </w:tcPr>
          <w:p w14:paraId="43BCD802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škála/text</w:t>
            </w:r>
          </w:p>
        </w:tc>
        <w:tc>
          <w:tcPr>
            <w:tcW w:w="1216" w:type="dxa"/>
            <w:vAlign w:val="center"/>
          </w:tcPr>
          <w:p w14:paraId="3EB790EE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povinná/</w:t>
            </w:r>
          </w:p>
          <w:p w14:paraId="233FC9E3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nepovinná</w:t>
            </w:r>
          </w:p>
        </w:tc>
        <w:tc>
          <w:tcPr>
            <w:tcW w:w="1256" w:type="dxa"/>
            <w:vAlign w:val="center"/>
          </w:tcPr>
          <w:p w14:paraId="6130D19E" w14:textId="74B585D3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2AAD766A" w14:textId="77777777" w:rsidTr="00062BA0">
        <w:tc>
          <w:tcPr>
            <w:tcW w:w="5382" w:type="dxa"/>
          </w:tcPr>
          <w:p w14:paraId="314FFCEC" w14:textId="77777777" w:rsidR="00062BA0" w:rsidRDefault="00062BA0" w:rsidP="00A70819">
            <w:pPr>
              <w:spacing w:line="276" w:lineRule="auto"/>
              <w:jc w:val="both"/>
              <w:outlineLvl w:val="3"/>
            </w:pPr>
            <w:r w:rsidRPr="005E6E6F">
              <w:t>Formy a metody výuky byly voleny účelně s ohledem na povahu vyučovaného předmětu.</w:t>
            </w:r>
          </w:p>
        </w:tc>
        <w:tc>
          <w:tcPr>
            <w:tcW w:w="1208" w:type="dxa"/>
            <w:vAlign w:val="center"/>
          </w:tcPr>
          <w:p w14:paraId="64A6AC45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16" w:type="dxa"/>
            <w:vAlign w:val="center"/>
          </w:tcPr>
          <w:p w14:paraId="692BB84B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56" w:type="dxa"/>
            <w:vAlign w:val="center"/>
          </w:tcPr>
          <w:p w14:paraId="4D49FE4C" w14:textId="0102BF5A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222FA0C0" w14:textId="77777777" w:rsidTr="00062BA0">
        <w:tc>
          <w:tcPr>
            <w:tcW w:w="5382" w:type="dxa"/>
          </w:tcPr>
          <w:p w14:paraId="5BA47AF3" w14:textId="617382D6" w:rsidR="00062BA0" w:rsidRDefault="00062BA0" w:rsidP="00A70819">
            <w:pPr>
              <w:spacing w:line="276" w:lineRule="auto"/>
              <w:jc w:val="both"/>
              <w:outlineLvl w:val="3"/>
            </w:pPr>
            <w:r w:rsidRPr="005E6E6F">
              <w:lastRenderedPageBreak/>
              <w:t>Vyučující je studentům dostupný (v KH, e</w:t>
            </w:r>
            <w:r w:rsidR="00314334">
              <w:t>-</w:t>
            </w:r>
            <w:r w:rsidRPr="005E6E6F">
              <w:t>mailem, …).</w:t>
            </w:r>
          </w:p>
        </w:tc>
        <w:tc>
          <w:tcPr>
            <w:tcW w:w="1208" w:type="dxa"/>
            <w:vAlign w:val="center"/>
          </w:tcPr>
          <w:p w14:paraId="500DB031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16" w:type="dxa"/>
            <w:vAlign w:val="center"/>
          </w:tcPr>
          <w:p w14:paraId="382D2191" w14:textId="77777777" w:rsidR="00062BA0" w:rsidRDefault="00832679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56" w:type="dxa"/>
            <w:vAlign w:val="center"/>
          </w:tcPr>
          <w:p w14:paraId="366D8261" w14:textId="276F2CDA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2DF5DEF0" w14:textId="77777777" w:rsidTr="00062BA0">
        <w:tc>
          <w:tcPr>
            <w:tcW w:w="5382" w:type="dxa"/>
          </w:tcPr>
          <w:p w14:paraId="1836B39A" w14:textId="77777777" w:rsidR="00062BA0" w:rsidRDefault="00062BA0" w:rsidP="00A70819">
            <w:pPr>
              <w:spacing w:line="276" w:lineRule="auto"/>
              <w:jc w:val="both"/>
              <w:outlineLvl w:val="3"/>
            </w:pPr>
            <w:r w:rsidRPr="005E6E6F">
              <w:t>Požadavky pro splnění předmětu byly stanoveny včas.</w:t>
            </w:r>
          </w:p>
        </w:tc>
        <w:tc>
          <w:tcPr>
            <w:tcW w:w="1208" w:type="dxa"/>
            <w:vAlign w:val="center"/>
          </w:tcPr>
          <w:p w14:paraId="0594EA39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16" w:type="dxa"/>
            <w:vAlign w:val="center"/>
          </w:tcPr>
          <w:p w14:paraId="3CEA46ED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56" w:type="dxa"/>
            <w:vAlign w:val="center"/>
          </w:tcPr>
          <w:p w14:paraId="02AFD11C" w14:textId="6F1875B8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197FCB77" w14:textId="77777777" w:rsidTr="00062BA0">
        <w:tc>
          <w:tcPr>
            <w:tcW w:w="5382" w:type="dxa"/>
          </w:tcPr>
          <w:p w14:paraId="4C7666C5" w14:textId="77777777" w:rsidR="00062BA0" w:rsidRDefault="00062BA0" w:rsidP="00A70819">
            <w:pPr>
              <w:spacing w:line="276" w:lineRule="auto"/>
              <w:jc w:val="both"/>
              <w:outlineLvl w:val="3"/>
            </w:pPr>
            <w:r w:rsidRPr="005E6E6F">
              <w:t>Ověřování splnění požadavků probíhalo v souladu s jejich stanovením.</w:t>
            </w:r>
          </w:p>
        </w:tc>
        <w:tc>
          <w:tcPr>
            <w:tcW w:w="1208" w:type="dxa"/>
            <w:vAlign w:val="center"/>
          </w:tcPr>
          <w:p w14:paraId="75516C47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16" w:type="dxa"/>
            <w:vAlign w:val="center"/>
          </w:tcPr>
          <w:p w14:paraId="4FB3E264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56" w:type="dxa"/>
            <w:vAlign w:val="center"/>
          </w:tcPr>
          <w:p w14:paraId="4301073F" w14:textId="1868FB79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195B9C05" w14:textId="77777777" w:rsidTr="00062BA0">
        <w:tc>
          <w:tcPr>
            <w:tcW w:w="5382" w:type="dxa"/>
          </w:tcPr>
          <w:p w14:paraId="56AD43F5" w14:textId="77777777" w:rsidR="00062BA0" w:rsidRDefault="00062BA0" w:rsidP="00A70819">
            <w:pPr>
              <w:spacing w:line="276" w:lineRule="auto"/>
              <w:jc w:val="both"/>
              <w:outlineLvl w:val="3"/>
            </w:pPr>
            <w:r w:rsidRPr="00CC5B45">
              <w:t>Co na předmětu nejvíce oceňujete? Máte nějaká doporučení na zlepšení?</w:t>
            </w:r>
          </w:p>
        </w:tc>
        <w:tc>
          <w:tcPr>
            <w:tcW w:w="1208" w:type="dxa"/>
            <w:vAlign w:val="center"/>
          </w:tcPr>
          <w:p w14:paraId="501502E4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text</w:t>
            </w:r>
          </w:p>
        </w:tc>
        <w:tc>
          <w:tcPr>
            <w:tcW w:w="1216" w:type="dxa"/>
            <w:vAlign w:val="center"/>
          </w:tcPr>
          <w:p w14:paraId="511CCC74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  <w:tc>
          <w:tcPr>
            <w:tcW w:w="1256" w:type="dxa"/>
            <w:vAlign w:val="center"/>
          </w:tcPr>
          <w:p w14:paraId="58DC5FFF" w14:textId="0E840C8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0BE6E04A" w14:textId="77777777" w:rsidTr="00062BA0">
        <w:tc>
          <w:tcPr>
            <w:tcW w:w="5382" w:type="dxa"/>
          </w:tcPr>
          <w:p w14:paraId="6A7D323F" w14:textId="77777777" w:rsidR="00062BA0" w:rsidRPr="00CC5B45" w:rsidRDefault="00062BA0" w:rsidP="00A70819">
            <w:pPr>
              <w:spacing w:line="276" w:lineRule="auto"/>
              <w:jc w:val="both"/>
              <w:outlineLvl w:val="3"/>
            </w:pPr>
            <w:r w:rsidRPr="005E6E6F">
              <w:t>Považuji tento předmět za přínosný pro své další vzdělávání a budoucí praxi.</w:t>
            </w:r>
          </w:p>
        </w:tc>
        <w:tc>
          <w:tcPr>
            <w:tcW w:w="1208" w:type="dxa"/>
            <w:vAlign w:val="center"/>
          </w:tcPr>
          <w:p w14:paraId="5FFD9132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16" w:type="dxa"/>
            <w:vAlign w:val="center"/>
          </w:tcPr>
          <w:p w14:paraId="1DB8241A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56" w:type="dxa"/>
            <w:vAlign w:val="center"/>
          </w:tcPr>
          <w:p w14:paraId="3C4DB35E" w14:textId="7AE15A07" w:rsidR="00062BA0" w:rsidRDefault="00062BA0" w:rsidP="00062BA0">
            <w:pPr>
              <w:spacing w:line="276" w:lineRule="auto"/>
              <w:jc w:val="center"/>
              <w:outlineLvl w:val="3"/>
            </w:pP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</w:tbl>
    <w:p w14:paraId="333720C5" w14:textId="77777777" w:rsidR="00062BA0" w:rsidRDefault="00062BA0" w:rsidP="00352759">
      <w:pPr>
        <w:spacing w:line="276" w:lineRule="auto"/>
        <w:jc w:val="both"/>
        <w:outlineLvl w:val="3"/>
      </w:pPr>
    </w:p>
    <w:p w14:paraId="64F0EDA5" w14:textId="1433DCE4" w:rsidR="00062BA0" w:rsidRPr="0025729F" w:rsidRDefault="00062BA0" w:rsidP="00062BA0">
      <w:pPr>
        <w:spacing w:line="276" w:lineRule="auto"/>
        <w:jc w:val="both"/>
        <w:outlineLvl w:val="3"/>
      </w:pPr>
      <w:r w:rsidRPr="0025729F">
        <w:t>V letním semestru (dále jen LS) byl</w:t>
      </w:r>
      <w:r w:rsidR="00832679">
        <w:t>y položeny stejné otázky</w:t>
      </w:r>
      <w:r w:rsidR="00CE0F16">
        <w:t xml:space="preserve"> a</w:t>
      </w:r>
      <w:r w:rsidR="00832679">
        <w:t xml:space="preserve"> v</w:t>
      </w:r>
      <w:r w:rsidR="00CE0F16">
        <w:t xml:space="preserve"> tomtéž </w:t>
      </w:r>
      <w:r w:rsidR="00832679">
        <w:t xml:space="preserve">rozsahu, </w:t>
      </w:r>
      <w:r w:rsidR="004B51BC">
        <w:t xml:space="preserve">byla </w:t>
      </w:r>
      <w:r w:rsidR="00314334">
        <w:t xml:space="preserve">pouze </w:t>
      </w:r>
      <w:r w:rsidR="004B51BC">
        <w:t xml:space="preserve">upravena </w:t>
      </w:r>
      <w:r w:rsidR="00832679">
        <w:t>na základě zkušeností z předchozího hodnocení povinnost odpovídat na jednu otázku, tedy</w:t>
      </w:r>
      <w:r w:rsidRPr="0025729F">
        <w:t xml:space="preserve"> </w:t>
      </w:r>
      <w:r w:rsidR="00832679">
        <w:t xml:space="preserve">dotazník obsahoval celkem 4 povinné a 2 nepovinné otázky </w:t>
      </w:r>
      <w:r>
        <w:t>(viz tab. 2).</w:t>
      </w:r>
    </w:p>
    <w:p w14:paraId="09D9C91B" w14:textId="77777777" w:rsidR="00062BA0" w:rsidRPr="0025729F" w:rsidRDefault="00062BA0" w:rsidP="00062BA0">
      <w:pPr>
        <w:spacing w:line="276" w:lineRule="auto"/>
        <w:jc w:val="both"/>
        <w:outlineLvl w:val="3"/>
      </w:pPr>
      <w:r w:rsidRPr="0025729F">
        <w:t>V obou semestrech byla hodnocena výuka jak povinných</w:t>
      </w:r>
      <w:r w:rsidR="00832679">
        <w:t xml:space="preserve"> a </w:t>
      </w:r>
      <w:r w:rsidRPr="0025729F">
        <w:t>povinně volitelných</w:t>
      </w:r>
      <w:r w:rsidR="00832679">
        <w:t>, tak i</w:t>
      </w:r>
      <w:r w:rsidRPr="0025729F">
        <w:t xml:space="preserve"> volitelných předmětů.</w:t>
      </w:r>
    </w:p>
    <w:p w14:paraId="0304D572" w14:textId="77777777" w:rsidR="00062BA0" w:rsidRDefault="00062BA0" w:rsidP="00352759">
      <w:pPr>
        <w:spacing w:line="276" w:lineRule="auto"/>
        <w:jc w:val="both"/>
        <w:outlineLvl w:val="3"/>
      </w:pPr>
    </w:p>
    <w:p w14:paraId="6B7D3893" w14:textId="77777777" w:rsidR="005E6E6F" w:rsidRDefault="005E6E6F" w:rsidP="00352759">
      <w:pPr>
        <w:spacing w:line="276" w:lineRule="auto"/>
        <w:jc w:val="both"/>
        <w:outlineLvl w:val="3"/>
      </w:pPr>
      <w:r>
        <w:t xml:space="preserve">Tab. 2 Otázky pro hodnocení </w:t>
      </w:r>
      <w:r w:rsidR="00A95316">
        <w:t xml:space="preserve">výuky předmětů </w:t>
      </w:r>
      <w:r>
        <w:t>v 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6"/>
        <w:gridCol w:w="1140"/>
        <w:gridCol w:w="1276"/>
        <w:gridCol w:w="1270"/>
      </w:tblGrid>
      <w:tr w:rsidR="00062BA0" w14:paraId="05F27B4F" w14:textId="77777777" w:rsidTr="00062BA0">
        <w:tc>
          <w:tcPr>
            <w:tcW w:w="5376" w:type="dxa"/>
            <w:vAlign w:val="center"/>
          </w:tcPr>
          <w:p w14:paraId="3DF04828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Otázka</w:t>
            </w:r>
          </w:p>
        </w:tc>
        <w:tc>
          <w:tcPr>
            <w:tcW w:w="1140" w:type="dxa"/>
            <w:vAlign w:val="center"/>
          </w:tcPr>
          <w:p w14:paraId="460CEE8A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škála/text</w:t>
            </w:r>
          </w:p>
        </w:tc>
        <w:tc>
          <w:tcPr>
            <w:tcW w:w="1276" w:type="dxa"/>
            <w:vAlign w:val="center"/>
          </w:tcPr>
          <w:p w14:paraId="7927ECF6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povinná/</w:t>
            </w:r>
          </w:p>
          <w:p w14:paraId="0BBA887D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nepovinná</w:t>
            </w:r>
          </w:p>
        </w:tc>
        <w:tc>
          <w:tcPr>
            <w:tcW w:w="1270" w:type="dxa"/>
            <w:vAlign w:val="center"/>
          </w:tcPr>
          <w:p w14:paraId="0E12E547" w14:textId="24ADCF0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31C19212" w14:textId="77777777" w:rsidTr="00062BA0">
        <w:tc>
          <w:tcPr>
            <w:tcW w:w="5376" w:type="dxa"/>
          </w:tcPr>
          <w:p w14:paraId="4271471D" w14:textId="77777777" w:rsidR="00062BA0" w:rsidRDefault="00062BA0" w:rsidP="00062BA0">
            <w:pPr>
              <w:spacing w:line="276" w:lineRule="auto"/>
              <w:jc w:val="both"/>
              <w:outlineLvl w:val="3"/>
            </w:pPr>
            <w:r w:rsidRPr="005E6E6F">
              <w:t>Formy a metody výuky byly voleny účelně s ohledem na povahu vyučovaného předmětu.</w:t>
            </w:r>
          </w:p>
        </w:tc>
        <w:tc>
          <w:tcPr>
            <w:tcW w:w="1140" w:type="dxa"/>
            <w:vAlign w:val="center"/>
          </w:tcPr>
          <w:p w14:paraId="0EC1ECF8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40AC99DF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70" w:type="dxa"/>
            <w:vAlign w:val="center"/>
          </w:tcPr>
          <w:p w14:paraId="3897C732" w14:textId="3AEBFBDC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42BB8813" w14:textId="77777777" w:rsidTr="00062BA0">
        <w:tc>
          <w:tcPr>
            <w:tcW w:w="5376" w:type="dxa"/>
          </w:tcPr>
          <w:p w14:paraId="6A0D8C43" w14:textId="77777777" w:rsidR="00062BA0" w:rsidRDefault="00062BA0" w:rsidP="00062BA0">
            <w:pPr>
              <w:spacing w:line="276" w:lineRule="auto"/>
              <w:jc w:val="both"/>
              <w:outlineLvl w:val="3"/>
            </w:pPr>
            <w:r w:rsidRPr="005E6E6F">
              <w:t>Vyučující je studentům dostupný (v KH, emailem, …).</w:t>
            </w:r>
          </w:p>
        </w:tc>
        <w:tc>
          <w:tcPr>
            <w:tcW w:w="1140" w:type="dxa"/>
            <w:vAlign w:val="center"/>
          </w:tcPr>
          <w:p w14:paraId="24CACA5F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12C264CC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  <w:tc>
          <w:tcPr>
            <w:tcW w:w="1270" w:type="dxa"/>
            <w:vAlign w:val="center"/>
          </w:tcPr>
          <w:p w14:paraId="46A1A81F" w14:textId="0A2A093B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770C85DB" w14:textId="77777777" w:rsidTr="00062BA0">
        <w:tc>
          <w:tcPr>
            <w:tcW w:w="5376" w:type="dxa"/>
          </w:tcPr>
          <w:p w14:paraId="2F602070" w14:textId="77777777" w:rsidR="00062BA0" w:rsidRDefault="00062BA0" w:rsidP="00062BA0">
            <w:pPr>
              <w:spacing w:line="276" w:lineRule="auto"/>
              <w:jc w:val="both"/>
              <w:outlineLvl w:val="3"/>
            </w:pPr>
            <w:r w:rsidRPr="005E6E6F">
              <w:t>Požadavky pro splnění předmětu byly stanoveny včas.</w:t>
            </w:r>
          </w:p>
        </w:tc>
        <w:tc>
          <w:tcPr>
            <w:tcW w:w="1140" w:type="dxa"/>
            <w:vAlign w:val="center"/>
          </w:tcPr>
          <w:p w14:paraId="15C932DF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62B141BE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70" w:type="dxa"/>
            <w:vAlign w:val="center"/>
          </w:tcPr>
          <w:p w14:paraId="453400B9" w14:textId="09B0DBE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0E6F8810" w14:textId="77777777" w:rsidTr="00062BA0">
        <w:tc>
          <w:tcPr>
            <w:tcW w:w="5376" w:type="dxa"/>
          </w:tcPr>
          <w:p w14:paraId="36781BCB" w14:textId="77777777" w:rsidR="00062BA0" w:rsidRDefault="00062BA0" w:rsidP="00062BA0">
            <w:pPr>
              <w:spacing w:line="276" w:lineRule="auto"/>
              <w:jc w:val="both"/>
              <w:outlineLvl w:val="3"/>
            </w:pPr>
            <w:r w:rsidRPr="005E6E6F">
              <w:t>Ověřování splnění požadavků probíhalo v souladu s jejich stanovením.</w:t>
            </w:r>
          </w:p>
        </w:tc>
        <w:tc>
          <w:tcPr>
            <w:tcW w:w="1140" w:type="dxa"/>
            <w:vAlign w:val="center"/>
          </w:tcPr>
          <w:p w14:paraId="38CF10B1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7AC016E3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70" w:type="dxa"/>
            <w:vAlign w:val="center"/>
          </w:tcPr>
          <w:p w14:paraId="363AF255" w14:textId="60F0DA9F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0952DC2F" w14:textId="77777777" w:rsidTr="00062BA0">
        <w:tc>
          <w:tcPr>
            <w:tcW w:w="5376" w:type="dxa"/>
          </w:tcPr>
          <w:p w14:paraId="67C397D7" w14:textId="77777777" w:rsidR="00062BA0" w:rsidRDefault="00062BA0" w:rsidP="00062BA0">
            <w:pPr>
              <w:spacing w:line="276" w:lineRule="auto"/>
              <w:jc w:val="both"/>
              <w:outlineLvl w:val="3"/>
            </w:pPr>
            <w:r w:rsidRPr="00CC5B45">
              <w:t>Co na předmětu nejvíce oceňujete? Máte nějaká doporučení na zlepšení?</w:t>
            </w:r>
          </w:p>
        </w:tc>
        <w:tc>
          <w:tcPr>
            <w:tcW w:w="1140" w:type="dxa"/>
            <w:vAlign w:val="center"/>
          </w:tcPr>
          <w:p w14:paraId="55A4FEA0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text</w:t>
            </w:r>
          </w:p>
        </w:tc>
        <w:tc>
          <w:tcPr>
            <w:tcW w:w="1276" w:type="dxa"/>
            <w:vAlign w:val="center"/>
          </w:tcPr>
          <w:p w14:paraId="35C93311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  <w:tc>
          <w:tcPr>
            <w:tcW w:w="1270" w:type="dxa"/>
            <w:vAlign w:val="center"/>
          </w:tcPr>
          <w:p w14:paraId="02B8DF15" w14:textId="12FFFE53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Bc./</w:t>
            </w: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  <w:tr w:rsidR="00062BA0" w14:paraId="1136246E" w14:textId="77777777" w:rsidTr="00062BA0">
        <w:tc>
          <w:tcPr>
            <w:tcW w:w="5376" w:type="dxa"/>
          </w:tcPr>
          <w:p w14:paraId="4AD5A95A" w14:textId="77777777" w:rsidR="00062BA0" w:rsidRPr="00CC5B45" w:rsidRDefault="00062BA0" w:rsidP="00062BA0">
            <w:pPr>
              <w:spacing w:line="276" w:lineRule="auto"/>
              <w:jc w:val="both"/>
              <w:outlineLvl w:val="3"/>
            </w:pPr>
            <w:r w:rsidRPr="005E6E6F">
              <w:t>Považuji tento předmět za přínosný pro své další vzdělávání a budoucí praxi.</w:t>
            </w:r>
          </w:p>
        </w:tc>
        <w:tc>
          <w:tcPr>
            <w:tcW w:w="1140" w:type="dxa"/>
            <w:vAlign w:val="center"/>
          </w:tcPr>
          <w:p w14:paraId="01CECDF6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75C00C9D" w14:textId="77777777" w:rsidR="00062BA0" w:rsidRDefault="00062BA0" w:rsidP="00062BA0">
            <w:pPr>
              <w:spacing w:line="276" w:lineRule="auto"/>
              <w:jc w:val="center"/>
              <w:outlineLvl w:val="3"/>
            </w:pPr>
            <w:r>
              <w:t>P</w:t>
            </w:r>
          </w:p>
        </w:tc>
        <w:tc>
          <w:tcPr>
            <w:tcW w:w="1270" w:type="dxa"/>
            <w:vAlign w:val="center"/>
          </w:tcPr>
          <w:p w14:paraId="63B0D05B" w14:textId="01CC7399" w:rsidR="00062BA0" w:rsidRDefault="00062BA0" w:rsidP="00062BA0">
            <w:pPr>
              <w:spacing w:line="276" w:lineRule="auto"/>
              <w:jc w:val="center"/>
              <w:outlineLvl w:val="3"/>
            </w:pPr>
            <w:proofErr w:type="spellStart"/>
            <w:r>
              <w:t>NMg</w:t>
            </w:r>
            <w:r w:rsidR="00314334">
              <w:t>r</w:t>
            </w:r>
            <w:proofErr w:type="spellEnd"/>
            <w:r>
              <w:t>.</w:t>
            </w:r>
          </w:p>
        </w:tc>
      </w:tr>
    </w:tbl>
    <w:p w14:paraId="65203C9E" w14:textId="77777777" w:rsidR="0035104A" w:rsidRDefault="0035104A" w:rsidP="00352759">
      <w:pPr>
        <w:spacing w:line="276" w:lineRule="auto"/>
        <w:jc w:val="both"/>
        <w:outlineLvl w:val="3"/>
      </w:pPr>
    </w:p>
    <w:p w14:paraId="20C25D21" w14:textId="77777777" w:rsidR="00E91C25" w:rsidRDefault="00A95316" w:rsidP="00352759">
      <w:pPr>
        <w:spacing w:line="276" w:lineRule="auto"/>
        <w:jc w:val="both"/>
        <w:outlineLvl w:val="3"/>
      </w:pPr>
      <w:r>
        <w:t>V LS byly do ankety přidány</w:t>
      </w:r>
      <w:r w:rsidR="004B51BC">
        <w:t xml:space="preserve"> také </w:t>
      </w:r>
      <w:r>
        <w:t xml:space="preserve">tzv. obecné otázky, které se zaměřovaly na kvalitu služeb poskytovaných studijním oddělením (viz tab. 3). Otázky byly </w:t>
      </w:r>
      <w:r w:rsidR="00CE0F16">
        <w:t>nepovinné</w:t>
      </w:r>
      <w:r w:rsidR="004B51BC">
        <w:t>,</w:t>
      </w:r>
      <w:r w:rsidR="00CE0F16">
        <w:t xml:space="preserve"> </w:t>
      </w:r>
      <w:r w:rsidR="00E30DED">
        <w:t xml:space="preserve">ve většině </w:t>
      </w:r>
      <w:proofErr w:type="spellStart"/>
      <w:r w:rsidR="00E30DED">
        <w:t>š</w:t>
      </w:r>
      <w:r>
        <w:t>kálované</w:t>
      </w:r>
      <w:proofErr w:type="spellEnd"/>
      <w:r>
        <w:t>.</w:t>
      </w:r>
    </w:p>
    <w:p w14:paraId="5B7B8BC2" w14:textId="77777777" w:rsidR="00A95316" w:rsidRDefault="00A95316" w:rsidP="00352759">
      <w:pPr>
        <w:spacing w:line="276" w:lineRule="auto"/>
        <w:jc w:val="both"/>
        <w:outlineLvl w:val="3"/>
      </w:pPr>
    </w:p>
    <w:p w14:paraId="2DAD8A56" w14:textId="77777777" w:rsidR="00A95316" w:rsidRDefault="00A95316" w:rsidP="00A95316">
      <w:pPr>
        <w:spacing w:line="276" w:lineRule="auto"/>
        <w:jc w:val="both"/>
        <w:outlineLvl w:val="3"/>
      </w:pPr>
      <w:r>
        <w:t>Tab. 3 Otázky pro hodnocení kvality služeb studijního oddělení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6"/>
        <w:gridCol w:w="1140"/>
        <w:gridCol w:w="1276"/>
      </w:tblGrid>
      <w:tr w:rsidR="00A95316" w14:paraId="076C6827" w14:textId="77777777" w:rsidTr="00A70819">
        <w:tc>
          <w:tcPr>
            <w:tcW w:w="5376" w:type="dxa"/>
            <w:vAlign w:val="center"/>
          </w:tcPr>
          <w:p w14:paraId="75A0DE8E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Otázka</w:t>
            </w:r>
          </w:p>
        </w:tc>
        <w:tc>
          <w:tcPr>
            <w:tcW w:w="1140" w:type="dxa"/>
            <w:vAlign w:val="center"/>
          </w:tcPr>
          <w:p w14:paraId="3786DB35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škála/text</w:t>
            </w:r>
          </w:p>
        </w:tc>
        <w:tc>
          <w:tcPr>
            <w:tcW w:w="1276" w:type="dxa"/>
            <w:vAlign w:val="center"/>
          </w:tcPr>
          <w:p w14:paraId="4B945034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povinná/</w:t>
            </w:r>
          </w:p>
          <w:p w14:paraId="13D5AD77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nepovinná</w:t>
            </w:r>
          </w:p>
        </w:tc>
      </w:tr>
      <w:tr w:rsidR="00A95316" w14:paraId="0E484034" w14:textId="77777777" w:rsidTr="00A70819">
        <w:tc>
          <w:tcPr>
            <w:tcW w:w="5376" w:type="dxa"/>
          </w:tcPr>
          <w:p w14:paraId="64E4634D" w14:textId="77777777" w:rsidR="00A95316" w:rsidRDefault="00A95316" w:rsidP="00A70819">
            <w:pPr>
              <w:spacing w:line="276" w:lineRule="auto"/>
              <w:jc w:val="both"/>
              <w:outlineLvl w:val="3"/>
            </w:pPr>
            <w:r w:rsidRPr="00A95316">
              <w:t>Služby Studijního oddělení jsem v akademickém roce 2017/2018 využil/a:</w:t>
            </w:r>
            <w:r>
              <w:t xml:space="preserve"> </w:t>
            </w:r>
          </w:p>
        </w:tc>
        <w:tc>
          <w:tcPr>
            <w:tcW w:w="1140" w:type="dxa"/>
            <w:vAlign w:val="center"/>
          </w:tcPr>
          <w:p w14:paraId="28C27796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47727D93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</w:tr>
      <w:tr w:rsidR="00A95316" w14:paraId="1DC721DF" w14:textId="77777777" w:rsidTr="00A70819">
        <w:tc>
          <w:tcPr>
            <w:tcW w:w="5376" w:type="dxa"/>
          </w:tcPr>
          <w:p w14:paraId="04D3CF87" w14:textId="77777777" w:rsidR="00A95316" w:rsidRDefault="00A95316" w:rsidP="00A70819">
            <w:pPr>
              <w:spacing w:line="276" w:lineRule="auto"/>
              <w:jc w:val="both"/>
              <w:outlineLvl w:val="3"/>
            </w:pPr>
            <w:r w:rsidRPr="00A95316">
              <w:t>Podpora při řešení studijního problému byla dostatečná.</w:t>
            </w:r>
          </w:p>
        </w:tc>
        <w:tc>
          <w:tcPr>
            <w:tcW w:w="1140" w:type="dxa"/>
            <w:vAlign w:val="center"/>
          </w:tcPr>
          <w:p w14:paraId="4CCD3034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76BF23A3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</w:tr>
      <w:tr w:rsidR="00A95316" w14:paraId="7C5FCCB5" w14:textId="77777777" w:rsidTr="00A70819">
        <w:tc>
          <w:tcPr>
            <w:tcW w:w="5376" w:type="dxa"/>
          </w:tcPr>
          <w:p w14:paraId="7B6B3303" w14:textId="77777777" w:rsidR="00A95316" w:rsidRDefault="00A95316" w:rsidP="00A70819">
            <w:pPr>
              <w:spacing w:line="276" w:lineRule="auto"/>
              <w:jc w:val="both"/>
              <w:outlineLvl w:val="3"/>
            </w:pPr>
            <w:r w:rsidRPr="00A95316">
              <w:t>Pracovníci Studijního oddělení mají příjemné vystupování.</w:t>
            </w:r>
          </w:p>
        </w:tc>
        <w:tc>
          <w:tcPr>
            <w:tcW w:w="1140" w:type="dxa"/>
            <w:vAlign w:val="center"/>
          </w:tcPr>
          <w:p w14:paraId="5A90F379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05D94CB1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</w:tr>
      <w:tr w:rsidR="00A95316" w14:paraId="4A359C67" w14:textId="77777777" w:rsidTr="00A70819">
        <w:tc>
          <w:tcPr>
            <w:tcW w:w="5376" w:type="dxa"/>
          </w:tcPr>
          <w:p w14:paraId="023D349E" w14:textId="77777777" w:rsidR="00A95316" w:rsidRDefault="00A95316" w:rsidP="00A70819">
            <w:pPr>
              <w:spacing w:line="276" w:lineRule="auto"/>
              <w:jc w:val="both"/>
              <w:outlineLvl w:val="3"/>
            </w:pPr>
            <w:r w:rsidRPr="00A95316">
              <w:lastRenderedPageBreak/>
              <w:t>Úřední hodiny Studijního oddělení mi vyhovují.</w:t>
            </w:r>
          </w:p>
        </w:tc>
        <w:tc>
          <w:tcPr>
            <w:tcW w:w="1140" w:type="dxa"/>
            <w:vAlign w:val="center"/>
          </w:tcPr>
          <w:p w14:paraId="0118446E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škála</w:t>
            </w:r>
          </w:p>
        </w:tc>
        <w:tc>
          <w:tcPr>
            <w:tcW w:w="1276" w:type="dxa"/>
            <w:vAlign w:val="center"/>
          </w:tcPr>
          <w:p w14:paraId="1B05D7D4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</w:tr>
      <w:tr w:rsidR="00A95316" w14:paraId="7D7FDEE7" w14:textId="77777777" w:rsidTr="00A70819">
        <w:tc>
          <w:tcPr>
            <w:tcW w:w="5376" w:type="dxa"/>
          </w:tcPr>
          <w:p w14:paraId="05BDF18D" w14:textId="77777777" w:rsidR="00A95316" w:rsidRDefault="00A95316" w:rsidP="00A70819">
            <w:pPr>
              <w:spacing w:line="276" w:lineRule="auto"/>
              <w:jc w:val="both"/>
              <w:outlineLvl w:val="3"/>
            </w:pPr>
            <w:r w:rsidRPr="00A95316">
              <w:t>V současné době studuji:</w:t>
            </w:r>
            <w:r>
              <w:t xml:space="preserve"> PS nebo KS</w:t>
            </w:r>
          </w:p>
        </w:tc>
        <w:tc>
          <w:tcPr>
            <w:tcW w:w="1140" w:type="dxa"/>
            <w:vAlign w:val="center"/>
          </w:tcPr>
          <w:p w14:paraId="62E86D03" w14:textId="77777777" w:rsidR="00A95316" w:rsidRDefault="003A68B7" w:rsidP="00A70819">
            <w:pPr>
              <w:spacing w:line="276" w:lineRule="auto"/>
              <w:jc w:val="center"/>
              <w:outlineLvl w:val="3"/>
            </w:pPr>
            <w:r>
              <w:t>výběr</w:t>
            </w:r>
          </w:p>
        </w:tc>
        <w:tc>
          <w:tcPr>
            <w:tcW w:w="1276" w:type="dxa"/>
            <w:vAlign w:val="center"/>
          </w:tcPr>
          <w:p w14:paraId="09AAEE2D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</w:tr>
      <w:tr w:rsidR="00A95316" w14:paraId="1168C3F1" w14:textId="77777777" w:rsidTr="00A70819">
        <w:tc>
          <w:tcPr>
            <w:tcW w:w="5376" w:type="dxa"/>
          </w:tcPr>
          <w:p w14:paraId="2D974AB7" w14:textId="77777777" w:rsidR="00A95316" w:rsidRPr="00CC5B45" w:rsidRDefault="00A95316" w:rsidP="00A70819">
            <w:pPr>
              <w:spacing w:line="276" w:lineRule="auto"/>
              <w:jc w:val="both"/>
              <w:outlineLvl w:val="3"/>
            </w:pPr>
            <w:r w:rsidRPr="00A95316">
              <w:t>Další připomínky a náměty, konkrétní zkušenosti se službami Studijního oddělení.</w:t>
            </w:r>
          </w:p>
        </w:tc>
        <w:tc>
          <w:tcPr>
            <w:tcW w:w="1140" w:type="dxa"/>
            <w:vAlign w:val="center"/>
          </w:tcPr>
          <w:p w14:paraId="201A1FA1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text</w:t>
            </w:r>
          </w:p>
        </w:tc>
        <w:tc>
          <w:tcPr>
            <w:tcW w:w="1276" w:type="dxa"/>
            <w:vAlign w:val="center"/>
          </w:tcPr>
          <w:p w14:paraId="253C3277" w14:textId="77777777" w:rsidR="00A95316" w:rsidRDefault="00A95316" w:rsidP="00A70819">
            <w:pPr>
              <w:spacing w:line="276" w:lineRule="auto"/>
              <w:jc w:val="center"/>
              <w:outlineLvl w:val="3"/>
            </w:pPr>
            <w:r>
              <w:t>N</w:t>
            </w:r>
          </w:p>
        </w:tc>
      </w:tr>
    </w:tbl>
    <w:p w14:paraId="7B31BDAD" w14:textId="77777777" w:rsidR="00A95316" w:rsidRDefault="00A95316" w:rsidP="00A95316">
      <w:pPr>
        <w:spacing w:line="276" w:lineRule="auto"/>
        <w:jc w:val="both"/>
        <w:outlineLvl w:val="3"/>
      </w:pPr>
    </w:p>
    <w:p w14:paraId="3E46A0D7" w14:textId="77777777" w:rsidR="0021367E" w:rsidRPr="0025729F" w:rsidRDefault="00A47664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10" w:name="_Toc501108816"/>
      <w:r w:rsidRPr="0025729F">
        <w:rPr>
          <w:rFonts w:ascii="Times New Roman" w:hAnsi="Times New Roman" w:cs="Times New Roman"/>
          <w:color w:val="auto"/>
        </w:rPr>
        <w:t>Z</w:t>
      </w:r>
      <w:r w:rsidR="0021367E" w:rsidRPr="0025729F">
        <w:rPr>
          <w:rFonts w:ascii="Times New Roman" w:hAnsi="Times New Roman" w:cs="Times New Roman"/>
          <w:color w:val="auto"/>
        </w:rPr>
        <w:t>působ sb</w:t>
      </w:r>
      <w:r w:rsidR="00D42D19" w:rsidRPr="0025729F">
        <w:rPr>
          <w:rFonts w:ascii="Times New Roman" w:hAnsi="Times New Roman" w:cs="Times New Roman"/>
          <w:color w:val="auto"/>
        </w:rPr>
        <w:t>ěru dat</w:t>
      </w:r>
      <w:bookmarkEnd w:id="10"/>
      <w:r w:rsidR="0021367E" w:rsidRPr="0025729F">
        <w:rPr>
          <w:rFonts w:ascii="Times New Roman" w:hAnsi="Times New Roman" w:cs="Times New Roman"/>
          <w:color w:val="auto"/>
        </w:rPr>
        <w:t xml:space="preserve"> </w:t>
      </w:r>
    </w:p>
    <w:p w14:paraId="36952FD9" w14:textId="54F01C08" w:rsidR="00417CAD" w:rsidRPr="0025729F" w:rsidRDefault="00A70819" w:rsidP="00CE0F16">
      <w:pPr>
        <w:spacing w:after="120" w:line="276" w:lineRule="auto"/>
        <w:jc w:val="both"/>
        <w:outlineLvl w:val="3"/>
      </w:pPr>
      <w:r>
        <w:t>Sběr dat probíhal v</w:t>
      </w:r>
      <w:r w:rsidR="00CE0F16">
        <w:t> obou semestrech ak</w:t>
      </w:r>
      <w:r w:rsidR="00314334">
        <w:t>ademického</w:t>
      </w:r>
      <w:r w:rsidR="00CE0F16">
        <w:t xml:space="preserve"> roku 2017/2018 </w:t>
      </w:r>
      <w:r w:rsidR="0021367E" w:rsidRPr="0025729F">
        <w:t>elektronickou formou v prostředí aplikace vytvořené na FF UK.</w:t>
      </w:r>
    </w:p>
    <w:p w14:paraId="14596636" w14:textId="77777777" w:rsidR="007463EE" w:rsidRPr="0025729F" w:rsidRDefault="00A47664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11" w:name="_Toc501108817"/>
      <w:r w:rsidRPr="0025729F">
        <w:rPr>
          <w:rFonts w:ascii="Times New Roman" w:hAnsi="Times New Roman" w:cs="Times New Roman"/>
          <w:color w:val="auto"/>
        </w:rPr>
        <w:t>F</w:t>
      </w:r>
      <w:r w:rsidR="007463EE" w:rsidRPr="0025729F">
        <w:rPr>
          <w:rFonts w:ascii="Times New Roman" w:hAnsi="Times New Roman" w:cs="Times New Roman"/>
          <w:color w:val="auto"/>
        </w:rPr>
        <w:t>rekvence sb</w:t>
      </w:r>
      <w:r w:rsidR="00D42D19" w:rsidRPr="0025729F">
        <w:rPr>
          <w:rFonts w:ascii="Times New Roman" w:hAnsi="Times New Roman" w:cs="Times New Roman"/>
          <w:color w:val="auto"/>
        </w:rPr>
        <w:t>ěru dat</w:t>
      </w:r>
      <w:bookmarkEnd w:id="11"/>
      <w:r w:rsidR="00D42D19" w:rsidRPr="0025729F">
        <w:rPr>
          <w:rFonts w:ascii="Times New Roman" w:hAnsi="Times New Roman" w:cs="Times New Roman"/>
          <w:color w:val="auto"/>
        </w:rPr>
        <w:t xml:space="preserve"> </w:t>
      </w:r>
    </w:p>
    <w:p w14:paraId="44B2D8F1" w14:textId="77777777" w:rsidR="007463EE" w:rsidRPr="0025729F" w:rsidRDefault="007463EE" w:rsidP="00352759">
      <w:pPr>
        <w:spacing w:line="276" w:lineRule="auto"/>
        <w:jc w:val="both"/>
        <w:outlineLvl w:val="3"/>
      </w:pPr>
      <w:r w:rsidRPr="0025729F">
        <w:t>Sběr dat probíhal dvakrát</w:t>
      </w:r>
      <w:r w:rsidR="00CE0F16">
        <w:t>, tj. hodnocena byla kvalita výuk</w:t>
      </w:r>
      <w:r w:rsidR="00A70819">
        <w:t>y</w:t>
      </w:r>
      <w:r w:rsidR="00CE0F16">
        <w:t xml:space="preserve"> za každý semestr zvlášť</w:t>
      </w:r>
      <w:r w:rsidRPr="0025729F">
        <w:t>. Tato frekvence je u bakalářských a magisterských studijních programů shledávána jako optimální.</w:t>
      </w:r>
    </w:p>
    <w:p w14:paraId="1C397FA7" w14:textId="77777777" w:rsidR="000059C0" w:rsidRPr="0025729F" w:rsidRDefault="00A47664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12" w:name="_Toc501108818"/>
      <w:r w:rsidRPr="0025729F">
        <w:rPr>
          <w:rFonts w:ascii="Times New Roman" w:hAnsi="Times New Roman" w:cs="Times New Roman"/>
          <w:color w:val="auto"/>
        </w:rPr>
        <w:t>N</w:t>
      </w:r>
      <w:r w:rsidR="007463EE" w:rsidRPr="0025729F">
        <w:rPr>
          <w:rFonts w:ascii="Times New Roman" w:hAnsi="Times New Roman" w:cs="Times New Roman"/>
          <w:color w:val="auto"/>
        </w:rPr>
        <w:t>ávratnost dotazníků</w:t>
      </w:r>
      <w:bookmarkEnd w:id="12"/>
      <w:r w:rsidR="007463EE" w:rsidRPr="0025729F">
        <w:rPr>
          <w:rFonts w:ascii="Times New Roman" w:hAnsi="Times New Roman" w:cs="Times New Roman"/>
          <w:color w:val="auto"/>
        </w:rPr>
        <w:t xml:space="preserve">  </w:t>
      </w:r>
    </w:p>
    <w:p w14:paraId="64E2E4EF" w14:textId="1A703DC5" w:rsidR="00A47664" w:rsidRPr="0025729F" w:rsidRDefault="00EE4E59" w:rsidP="00A47664">
      <w:pPr>
        <w:spacing w:after="120" w:line="276" w:lineRule="auto"/>
        <w:jc w:val="both"/>
      </w:pPr>
      <w:r w:rsidRPr="0025729F">
        <w:t>V</w:t>
      </w:r>
      <w:r w:rsidR="00A931B1" w:rsidRPr="0025729F">
        <w:t> </w:t>
      </w:r>
      <w:r w:rsidR="007463EE" w:rsidRPr="0025729F">
        <w:t>ZS</w:t>
      </w:r>
      <w:r w:rsidR="00A931B1" w:rsidRPr="0025729F">
        <w:t xml:space="preserve"> 201</w:t>
      </w:r>
      <w:r w:rsidR="00A70819">
        <w:t>7</w:t>
      </w:r>
      <w:r w:rsidR="004D5C99" w:rsidRPr="0025729F">
        <w:t>/201</w:t>
      </w:r>
      <w:r w:rsidR="00A70819">
        <w:t>8</w:t>
      </w:r>
      <w:r w:rsidR="00A931B1" w:rsidRPr="0025729F">
        <w:t xml:space="preserve"> se </w:t>
      </w:r>
      <w:r w:rsidR="007463EE" w:rsidRPr="0025729F">
        <w:t xml:space="preserve">ankety </w:t>
      </w:r>
      <w:r w:rsidR="00A931B1" w:rsidRPr="0025729F">
        <w:t xml:space="preserve">zúčastnilo </w:t>
      </w:r>
      <w:r w:rsidR="00A70819">
        <w:t>1067</w:t>
      </w:r>
      <w:r w:rsidR="00E10E15" w:rsidRPr="0025729F">
        <w:t xml:space="preserve"> studentů ze </w:t>
      </w:r>
      <w:r w:rsidR="0036180E">
        <w:t>3959</w:t>
      </w:r>
      <w:r w:rsidR="00A931B1" w:rsidRPr="0025729F">
        <w:t xml:space="preserve"> studujících</w:t>
      </w:r>
      <w:r w:rsidR="0036180E">
        <w:t>.</w:t>
      </w:r>
      <w:r w:rsidR="00A931B1" w:rsidRPr="0025729F">
        <w:t xml:space="preserve"> </w:t>
      </w:r>
      <w:r w:rsidR="007A16D1" w:rsidRPr="0025729F">
        <w:t xml:space="preserve">Celkem bylo vyplněno </w:t>
      </w:r>
      <w:r w:rsidR="0036180E">
        <w:t>9289</w:t>
      </w:r>
      <w:r w:rsidR="007A16D1" w:rsidRPr="0025729F">
        <w:t xml:space="preserve"> dotazníků</w:t>
      </w:r>
      <w:r w:rsidR="0036180E">
        <w:t xml:space="preserve">, počet zápisů na předmětech studenty činil </w:t>
      </w:r>
      <w:r w:rsidR="001D5CFF">
        <w:t>51927</w:t>
      </w:r>
      <w:r w:rsidR="00270411" w:rsidRPr="0025729F">
        <w:t>.</w:t>
      </w:r>
      <w:r w:rsidR="00425BBC" w:rsidRPr="0025729F">
        <w:t xml:space="preserve"> </w:t>
      </w:r>
      <w:r w:rsidR="00D721E0" w:rsidRPr="0025729F">
        <w:t xml:space="preserve">Podíl počtu odevzdaných dotazníků vzhledem </w:t>
      </w:r>
      <w:r w:rsidR="0036180E">
        <w:t>k</w:t>
      </w:r>
      <w:r w:rsidR="00D721E0" w:rsidRPr="0025729F">
        <w:t xml:space="preserve"> počtu zapsaných </w:t>
      </w:r>
      <w:r w:rsidR="00425BBC" w:rsidRPr="0025729F">
        <w:t>předmětů</w:t>
      </w:r>
      <w:r w:rsidR="00D721E0" w:rsidRPr="0025729F">
        <w:t xml:space="preserve"> je </w:t>
      </w:r>
      <w:r w:rsidR="00425BBC" w:rsidRPr="0025729F">
        <w:t>5,5</w:t>
      </w:r>
      <w:r w:rsidR="0036180E">
        <w:t>9</w:t>
      </w:r>
      <w:r w:rsidR="00425BBC" w:rsidRPr="0025729F">
        <w:t>.</w:t>
      </w:r>
    </w:p>
    <w:p w14:paraId="6F7598A9" w14:textId="5EFE6064" w:rsidR="00EE2E01" w:rsidRPr="0025729F" w:rsidRDefault="00A931B1" w:rsidP="00A47664">
      <w:pPr>
        <w:spacing w:after="120" w:line="276" w:lineRule="auto"/>
        <w:jc w:val="both"/>
      </w:pPr>
      <w:r w:rsidRPr="0025729F">
        <w:t>V</w:t>
      </w:r>
      <w:r w:rsidR="007463EE" w:rsidRPr="0025729F">
        <w:t xml:space="preserve"> LS </w:t>
      </w:r>
      <w:r w:rsidR="004D5C99" w:rsidRPr="0025729F">
        <w:t>201</w:t>
      </w:r>
      <w:r w:rsidR="0036180E">
        <w:t>7</w:t>
      </w:r>
      <w:r w:rsidR="004D5C99" w:rsidRPr="0025729F">
        <w:t>/201</w:t>
      </w:r>
      <w:r w:rsidR="0036180E">
        <w:t>8</w:t>
      </w:r>
      <w:r w:rsidR="007A16D1" w:rsidRPr="0025729F">
        <w:t xml:space="preserve"> se </w:t>
      </w:r>
      <w:r w:rsidR="007463EE" w:rsidRPr="0025729F">
        <w:t xml:space="preserve">ankety </w:t>
      </w:r>
      <w:r w:rsidRPr="0025729F">
        <w:t xml:space="preserve">zúčastnilo </w:t>
      </w:r>
      <w:r w:rsidR="0036180E">
        <w:t>772</w:t>
      </w:r>
      <w:r w:rsidRPr="0025729F">
        <w:t xml:space="preserve"> studentů z</w:t>
      </w:r>
      <w:r w:rsidR="007463EE" w:rsidRPr="0025729F">
        <w:t> celkového počtu</w:t>
      </w:r>
      <w:r w:rsidR="004D5C99" w:rsidRPr="0025729F">
        <w:t> </w:t>
      </w:r>
      <w:r w:rsidR="00E10E15" w:rsidRPr="0025729F">
        <w:t>3</w:t>
      </w:r>
      <w:r w:rsidR="0036180E">
        <w:t>401</w:t>
      </w:r>
      <w:r w:rsidRPr="0025729F">
        <w:t xml:space="preserve"> studujících</w:t>
      </w:r>
      <w:r w:rsidR="0036180E">
        <w:t>.</w:t>
      </w:r>
      <w:r w:rsidR="007A16D1" w:rsidRPr="0025729F">
        <w:t xml:space="preserve"> Celkem vyplněno bylo </w:t>
      </w:r>
      <w:r w:rsidR="00250757" w:rsidRPr="0025729F">
        <w:t>5</w:t>
      </w:r>
      <w:r w:rsidR="0036180E">
        <w:t>508</w:t>
      </w:r>
      <w:r w:rsidR="007A16D1" w:rsidRPr="0025729F">
        <w:t xml:space="preserve"> dotazníků</w:t>
      </w:r>
      <w:r w:rsidR="0036180E">
        <w:t>, počet zápisů na předmětech činil 45397</w:t>
      </w:r>
      <w:r w:rsidR="007A16D1" w:rsidRPr="0025729F">
        <w:t>.</w:t>
      </w:r>
      <w:r w:rsidR="00A47664" w:rsidRPr="0025729F">
        <w:t xml:space="preserve"> </w:t>
      </w:r>
      <w:r w:rsidR="00D721E0" w:rsidRPr="0025729F">
        <w:t xml:space="preserve">Podíl počtu odevzdaných dotazníků vzhledem v počtu zapsaných </w:t>
      </w:r>
      <w:r w:rsidR="00A47664" w:rsidRPr="0025729F">
        <w:t>předmětů</w:t>
      </w:r>
      <w:r w:rsidR="00D721E0" w:rsidRPr="0025729F">
        <w:t xml:space="preserve"> je </w:t>
      </w:r>
      <w:r w:rsidR="0036180E">
        <w:t>12,13</w:t>
      </w:r>
      <w:r w:rsidR="00A47664" w:rsidRPr="0025729F">
        <w:t>.</w:t>
      </w:r>
      <w:bookmarkStart w:id="13" w:name="_GoBack"/>
      <w:bookmarkEnd w:id="13"/>
    </w:p>
    <w:p w14:paraId="0D6E848F" w14:textId="77777777" w:rsidR="00EE2E01" w:rsidRPr="0025729F" w:rsidRDefault="00A47664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14" w:name="_Toc501108819"/>
      <w:r w:rsidRPr="0025729F">
        <w:rPr>
          <w:rFonts w:ascii="Times New Roman" w:hAnsi="Times New Roman" w:cs="Times New Roman"/>
          <w:color w:val="auto"/>
        </w:rPr>
        <w:t>Z</w:t>
      </w:r>
      <w:r w:rsidR="00EE2E01" w:rsidRPr="0025729F">
        <w:rPr>
          <w:rFonts w:ascii="Times New Roman" w:hAnsi="Times New Roman" w:cs="Times New Roman"/>
          <w:color w:val="auto"/>
        </w:rPr>
        <w:t>působ, form</w:t>
      </w:r>
      <w:r w:rsidR="00974777" w:rsidRPr="0025729F">
        <w:rPr>
          <w:rFonts w:ascii="Times New Roman" w:hAnsi="Times New Roman" w:cs="Times New Roman"/>
          <w:color w:val="auto"/>
        </w:rPr>
        <w:t>a</w:t>
      </w:r>
      <w:r w:rsidR="00EE2E01" w:rsidRPr="0025729F">
        <w:rPr>
          <w:rFonts w:ascii="Times New Roman" w:hAnsi="Times New Roman" w:cs="Times New Roman"/>
          <w:color w:val="auto"/>
        </w:rPr>
        <w:t xml:space="preserve"> zpracování a vyhodnocení výsledků</w:t>
      </w:r>
      <w:bookmarkEnd w:id="14"/>
      <w:r w:rsidR="00EE2E01" w:rsidRPr="0025729F">
        <w:rPr>
          <w:rFonts w:ascii="Times New Roman" w:hAnsi="Times New Roman" w:cs="Times New Roman"/>
          <w:color w:val="auto"/>
        </w:rPr>
        <w:t xml:space="preserve"> </w:t>
      </w:r>
    </w:p>
    <w:p w14:paraId="63E00A7C" w14:textId="5FC4D483" w:rsidR="00EE2E01" w:rsidRPr="0025729F" w:rsidRDefault="008E1296" w:rsidP="00903BC0">
      <w:pPr>
        <w:pStyle w:val="Odstavecseseznamem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29F">
        <w:rPr>
          <w:rFonts w:ascii="Times New Roman" w:hAnsi="Times New Roman"/>
          <w:sz w:val="24"/>
          <w:szCs w:val="24"/>
        </w:rPr>
        <w:t xml:space="preserve">Aplikace, v níž hodnocení </w:t>
      </w:r>
      <w:r w:rsidR="0037104E" w:rsidRPr="0025729F">
        <w:rPr>
          <w:rFonts w:ascii="Times New Roman" w:hAnsi="Times New Roman"/>
          <w:sz w:val="24"/>
          <w:szCs w:val="24"/>
        </w:rPr>
        <w:t>v</w:t>
      </w:r>
      <w:r w:rsidR="00E30DED">
        <w:rPr>
          <w:rFonts w:ascii="Times New Roman" w:hAnsi="Times New Roman"/>
          <w:sz w:val="24"/>
          <w:szCs w:val="24"/>
        </w:rPr>
        <w:t xml:space="preserve"> ZS i </w:t>
      </w:r>
      <w:r w:rsidR="0037104E" w:rsidRPr="0025729F">
        <w:rPr>
          <w:rFonts w:ascii="Times New Roman" w:hAnsi="Times New Roman"/>
          <w:sz w:val="24"/>
          <w:szCs w:val="24"/>
        </w:rPr>
        <w:t xml:space="preserve">LS </w:t>
      </w:r>
      <w:r w:rsidRPr="0025729F">
        <w:rPr>
          <w:rFonts w:ascii="Times New Roman" w:hAnsi="Times New Roman"/>
          <w:sz w:val="24"/>
          <w:szCs w:val="24"/>
        </w:rPr>
        <w:t xml:space="preserve">probíhalo, sama průběžně během sběru dat vyhodnocuje </w:t>
      </w:r>
      <w:r w:rsidR="00BE3805" w:rsidRPr="0025729F">
        <w:rPr>
          <w:rFonts w:ascii="Times New Roman" w:hAnsi="Times New Roman"/>
          <w:sz w:val="24"/>
          <w:szCs w:val="24"/>
        </w:rPr>
        <w:t xml:space="preserve">základní ukazatele, např. počet hodnotících studentů a odevzdaných dotazníků, rovněž ukazuje v grafickém zobrazení i </w:t>
      </w:r>
      <w:r w:rsidR="0037104E" w:rsidRPr="0025729F">
        <w:rPr>
          <w:rFonts w:ascii="Times New Roman" w:hAnsi="Times New Roman"/>
          <w:sz w:val="24"/>
          <w:szCs w:val="24"/>
        </w:rPr>
        <w:t>po dnech křivku účasti hodnotících studentů a je tak možno na změnu stavu flexibilně reagovat a studenty např. k účasti více podněcovat.</w:t>
      </w:r>
      <w:r w:rsidR="00A70819">
        <w:rPr>
          <w:rFonts w:ascii="Times New Roman" w:hAnsi="Times New Roman"/>
          <w:sz w:val="24"/>
          <w:szCs w:val="24"/>
        </w:rPr>
        <w:t xml:space="preserve"> </w:t>
      </w:r>
      <w:r w:rsidR="00CE0F16">
        <w:rPr>
          <w:rFonts w:ascii="Times New Roman" w:hAnsi="Times New Roman"/>
          <w:sz w:val="24"/>
          <w:szCs w:val="24"/>
        </w:rPr>
        <w:t>V</w:t>
      </w:r>
      <w:r w:rsidR="0080032F" w:rsidRPr="0025729F">
        <w:rPr>
          <w:rFonts w:ascii="Times New Roman" w:hAnsi="Times New Roman"/>
          <w:sz w:val="24"/>
          <w:szCs w:val="24"/>
        </w:rPr>
        <w:t xml:space="preserve"> centru pozornosti </w:t>
      </w:r>
      <w:r w:rsidR="00CE0F16">
        <w:rPr>
          <w:rFonts w:ascii="Times New Roman" w:hAnsi="Times New Roman"/>
          <w:sz w:val="24"/>
          <w:szCs w:val="24"/>
        </w:rPr>
        <w:t xml:space="preserve">stálo </w:t>
      </w:r>
      <w:r w:rsidR="009B0860" w:rsidRPr="0025729F">
        <w:rPr>
          <w:rFonts w:ascii="Times New Roman" w:hAnsi="Times New Roman"/>
          <w:sz w:val="24"/>
          <w:szCs w:val="24"/>
        </w:rPr>
        <w:t>vyhodnoc</w:t>
      </w:r>
      <w:r w:rsidR="00A70819">
        <w:rPr>
          <w:rFonts w:ascii="Times New Roman" w:hAnsi="Times New Roman"/>
          <w:sz w:val="24"/>
          <w:szCs w:val="24"/>
        </w:rPr>
        <w:t>ení</w:t>
      </w:r>
      <w:r w:rsidR="009B0860" w:rsidRPr="0025729F">
        <w:rPr>
          <w:rFonts w:ascii="Times New Roman" w:hAnsi="Times New Roman"/>
          <w:sz w:val="24"/>
          <w:szCs w:val="24"/>
        </w:rPr>
        <w:t xml:space="preserve"> </w:t>
      </w:r>
      <w:r w:rsidR="0080032F" w:rsidRPr="0025729F">
        <w:rPr>
          <w:rFonts w:ascii="Times New Roman" w:hAnsi="Times New Roman"/>
          <w:sz w:val="24"/>
          <w:szCs w:val="24"/>
        </w:rPr>
        <w:t>slovní</w:t>
      </w:r>
      <w:r w:rsidR="00903BC0" w:rsidRPr="0025729F">
        <w:rPr>
          <w:rFonts w:ascii="Times New Roman" w:hAnsi="Times New Roman"/>
          <w:sz w:val="24"/>
          <w:szCs w:val="24"/>
        </w:rPr>
        <w:t>ch</w:t>
      </w:r>
      <w:r w:rsidR="0080032F" w:rsidRPr="0025729F">
        <w:rPr>
          <w:rFonts w:ascii="Times New Roman" w:hAnsi="Times New Roman"/>
          <w:sz w:val="24"/>
          <w:szCs w:val="24"/>
        </w:rPr>
        <w:t xml:space="preserve"> </w:t>
      </w:r>
      <w:r w:rsidR="00903BC0" w:rsidRPr="0025729F">
        <w:rPr>
          <w:rFonts w:ascii="Times New Roman" w:hAnsi="Times New Roman"/>
          <w:sz w:val="24"/>
          <w:szCs w:val="24"/>
        </w:rPr>
        <w:t>komentářů</w:t>
      </w:r>
      <w:r w:rsidR="0080032F" w:rsidRPr="0025729F">
        <w:rPr>
          <w:rFonts w:ascii="Times New Roman" w:hAnsi="Times New Roman"/>
          <w:sz w:val="24"/>
          <w:szCs w:val="24"/>
        </w:rPr>
        <w:t xml:space="preserve"> studentů, jichž bylo </w:t>
      </w:r>
      <w:r w:rsidR="00EE0C0C" w:rsidRPr="0025729F">
        <w:rPr>
          <w:rFonts w:ascii="Times New Roman" w:hAnsi="Times New Roman"/>
          <w:sz w:val="24"/>
          <w:szCs w:val="24"/>
        </w:rPr>
        <w:t xml:space="preserve">celkem </w:t>
      </w:r>
      <w:r w:rsidR="0009538A">
        <w:rPr>
          <w:rFonts w:ascii="Times New Roman" w:hAnsi="Times New Roman"/>
          <w:sz w:val="24"/>
          <w:szCs w:val="24"/>
        </w:rPr>
        <w:t>5</w:t>
      </w:r>
      <w:r w:rsidR="00080E85">
        <w:rPr>
          <w:rFonts w:ascii="Times New Roman" w:hAnsi="Times New Roman"/>
          <w:sz w:val="24"/>
          <w:szCs w:val="24"/>
        </w:rPr>
        <w:t>5</w:t>
      </w:r>
      <w:r w:rsidR="0009538A">
        <w:rPr>
          <w:rFonts w:ascii="Times New Roman" w:hAnsi="Times New Roman"/>
          <w:sz w:val="24"/>
          <w:szCs w:val="24"/>
        </w:rPr>
        <w:t>2</w:t>
      </w:r>
      <w:r w:rsidR="00080E85">
        <w:rPr>
          <w:rFonts w:ascii="Times New Roman" w:hAnsi="Times New Roman"/>
          <w:sz w:val="24"/>
          <w:szCs w:val="24"/>
        </w:rPr>
        <w:t>5</w:t>
      </w:r>
      <w:r w:rsidR="0080032F" w:rsidRPr="0025729F">
        <w:rPr>
          <w:rFonts w:ascii="Times New Roman" w:hAnsi="Times New Roman"/>
          <w:sz w:val="24"/>
          <w:szCs w:val="24"/>
        </w:rPr>
        <w:t xml:space="preserve"> </w:t>
      </w:r>
      <w:r w:rsidR="00AE4298" w:rsidRPr="0025729F">
        <w:rPr>
          <w:rFonts w:ascii="Times New Roman" w:hAnsi="Times New Roman"/>
          <w:sz w:val="24"/>
          <w:szCs w:val="24"/>
        </w:rPr>
        <w:t>(</w:t>
      </w:r>
      <w:r w:rsidR="00CE0F16">
        <w:rPr>
          <w:rFonts w:ascii="Times New Roman" w:hAnsi="Times New Roman"/>
          <w:sz w:val="24"/>
          <w:szCs w:val="24"/>
        </w:rPr>
        <w:t xml:space="preserve">v obou semestrech se </w:t>
      </w:r>
      <w:r w:rsidR="00AE4298" w:rsidRPr="0025729F">
        <w:rPr>
          <w:rFonts w:ascii="Times New Roman" w:hAnsi="Times New Roman"/>
          <w:sz w:val="24"/>
          <w:szCs w:val="24"/>
        </w:rPr>
        <w:t xml:space="preserve">jednalo o </w:t>
      </w:r>
      <w:r w:rsidR="00CE0F16">
        <w:rPr>
          <w:rFonts w:ascii="Times New Roman" w:hAnsi="Times New Roman"/>
          <w:sz w:val="24"/>
          <w:szCs w:val="24"/>
        </w:rPr>
        <w:t>ne</w:t>
      </w:r>
      <w:r w:rsidR="00AE4298" w:rsidRPr="0025729F">
        <w:rPr>
          <w:rFonts w:ascii="Times New Roman" w:hAnsi="Times New Roman"/>
          <w:sz w:val="24"/>
          <w:szCs w:val="24"/>
        </w:rPr>
        <w:t>povinnou položku).</w:t>
      </w:r>
      <w:r w:rsidR="009B0860" w:rsidRPr="0025729F">
        <w:rPr>
          <w:rFonts w:ascii="Times New Roman" w:hAnsi="Times New Roman"/>
          <w:sz w:val="24"/>
          <w:szCs w:val="24"/>
        </w:rPr>
        <w:t xml:space="preserve"> </w:t>
      </w:r>
    </w:p>
    <w:p w14:paraId="24FF1B27" w14:textId="77777777" w:rsidR="008E1296" w:rsidRPr="0025729F" w:rsidRDefault="00A47664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15" w:name="_Toc501108820"/>
      <w:r w:rsidRPr="0025729F">
        <w:rPr>
          <w:rFonts w:ascii="Times New Roman" w:hAnsi="Times New Roman" w:cs="Times New Roman"/>
          <w:color w:val="auto"/>
        </w:rPr>
        <w:t>H</w:t>
      </w:r>
      <w:r w:rsidR="00C36649" w:rsidRPr="0025729F">
        <w:rPr>
          <w:rFonts w:ascii="Times New Roman" w:hAnsi="Times New Roman" w:cs="Times New Roman"/>
          <w:color w:val="auto"/>
        </w:rPr>
        <w:t>lavní závěry hodnocení a jejich zohlednění ve vzdělávací činnosti fakulty</w:t>
      </w:r>
      <w:bookmarkEnd w:id="15"/>
      <w:r w:rsidR="00C36649" w:rsidRPr="0025729F">
        <w:rPr>
          <w:rFonts w:ascii="Times New Roman" w:hAnsi="Times New Roman" w:cs="Times New Roman"/>
          <w:color w:val="auto"/>
        </w:rPr>
        <w:t xml:space="preserve"> </w:t>
      </w:r>
    </w:p>
    <w:p w14:paraId="69C1746B" w14:textId="478E8F1F" w:rsidR="0034397D" w:rsidRPr="001221F6" w:rsidRDefault="0034397D" w:rsidP="0034397D">
      <w:pPr>
        <w:pStyle w:val="Default"/>
        <w:spacing w:line="276" w:lineRule="auto"/>
        <w:jc w:val="both"/>
        <w:rPr>
          <w:color w:val="auto"/>
        </w:rPr>
      </w:pPr>
      <w:r w:rsidRPr="0034397D">
        <w:rPr>
          <w:color w:val="auto"/>
        </w:rPr>
        <w:t xml:space="preserve">Anketa zaměřená na hodnocení výuky studenty sice přináší katedrám určité informace o kvalitě výuky z pohledu pregraduálních studentů, procento </w:t>
      </w:r>
      <w:r w:rsidR="00314334">
        <w:rPr>
          <w:color w:val="auto"/>
        </w:rPr>
        <w:t>ú</w:t>
      </w:r>
      <w:r w:rsidRPr="0034397D">
        <w:rPr>
          <w:color w:val="auto"/>
        </w:rPr>
        <w:t>časti je však stále nízké</w:t>
      </w:r>
      <w:r>
        <w:rPr>
          <w:color w:val="auto"/>
        </w:rPr>
        <w:t xml:space="preserve">, což limituje objektivní využití výsledků ankety. </w:t>
      </w:r>
      <w:r w:rsidRPr="001221F6">
        <w:rPr>
          <w:color w:val="auto"/>
        </w:rPr>
        <w:t xml:space="preserve">Z diskusí se studenty stále vyplývá, že významným faktorem pro rozhodnutí zúčastnit se ankety je skutečnost, zda a jak se s jejich názory dále pracuje, zda dochází v důsledku jejich vyjádření k nějakým pozitivním změnám apod. Rovněž stále přetrvává obava studentů z rozkrytí anonymity. Studenti v ZS i v LS svoje komentáře ve velké míře skrývali. Některé slovní komentáře byly však skryty i vyučujícími (příp. vedoucími kateder), </w:t>
      </w:r>
      <w:r w:rsidR="00B11C24">
        <w:rPr>
          <w:color w:val="auto"/>
        </w:rPr>
        <w:t xml:space="preserve">potěšující je však klesající tendence, </w:t>
      </w:r>
      <w:r w:rsidRPr="001221F6">
        <w:rPr>
          <w:color w:val="auto"/>
        </w:rPr>
        <w:t>v ZS se jednalo o 49 skrytí, v LS již jen 31.</w:t>
      </w:r>
    </w:p>
    <w:p w14:paraId="3D9C1120" w14:textId="534B9B28" w:rsidR="0034397D" w:rsidRPr="0034397D" w:rsidRDefault="0034397D" w:rsidP="0035275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Přes</w:t>
      </w:r>
      <w:r w:rsidR="00297C91">
        <w:rPr>
          <w:color w:val="auto"/>
        </w:rPr>
        <w:t xml:space="preserve"> poměrně nízkou účast </w:t>
      </w:r>
      <w:r>
        <w:rPr>
          <w:color w:val="auto"/>
        </w:rPr>
        <w:t>lze tvrdit, že katedry, vyučující i vedení fakulty dostávají z výsledků ankety určité signály o tom, jak kvalitně je výuka v jednotlivých předmětech realizována.</w:t>
      </w:r>
    </w:p>
    <w:p w14:paraId="2749D3D1" w14:textId="4DC4A54D" w:rsidR="009C0FEF" w:rsidRPr="00B11C24" w:rsidRDefault="008E1296" w:rsidP="00352759">
      <w:pPr>
        <w:pStyle w:val="Default"/>
        <w:spacing w:line="276" w:lineRule="auto"/>
        <w:jc w:val="both"/>
        <w:rPr>
          <w:color w:val="auto"/>
        </w:rPr>
      </w:pPr>
      <w:r w:rsidRPr="00B11C24">
        <w:rPr>
          <w:color w:val="auto"/>
        </w:rPr>
        <w:t xml:space="preserve">Srovnáním </w:t>
      </w:r>
      <w:r w:rsidR="00F1400B" w:rsidRPr="00B11C24">
        <w:rPr>
          <w:color w:val="auto"/>
        </w:rPr>
        <w:t>slovních komentářů</w:t>
      </w:r>
      <w:r w:rsidRPr="00B11C24">
        <w:rPr>
          <w:color w:val="auto"/>
        </w:rPr>
        <w:t xml:space="preserve"> za </w:t>
      </w:r>
      <w:r w:rsidR="009C0FEF" w:rsidRPr="00B11C24">
        <w:rPr>
          <w:color w:val="auto"/>
        </w:rPr>
        <w:t xml:space="preserve">hodnocený </w:t>
      </w:r>
      <w:r w:rsidR="00297C91" w:rsidRPr="00B11C24">
        <w:rPr>
          <w:color w:val="auto"/>
        </w:rPr>
        <w:t>a</w:t>
      </w:r>
      <w:r w:rsidR="009C0FEF" w:rsidRPr="00B11C24">
        <w:rPr>
          <w:color w:val="auto"/>
        </w:rPr>
        <w:t xml:space="preserve"> </w:t>
      </w:r>
      <w:r w:rsidR="00314334">
        <w:rPr>
          <w:color w:val="auto"/>
        </w:rPr>
        <w:t>předchozí</w:t>
      </w:r>
      <w:r w:rsidR="009C0FEF" w:rsidRPr="00B11C24">
        <w:rPr>
          <w:color w:val="auto"/>
        </w:rPr>
        <w:t xml:space="preserve"> rok </w:t>
      </w:r>
      <w:r w:rsidRPr="00B11C24">
        <w:rPr>
          <w:color w:val="auto"/>
        </w:rPr>
        <w:t>bylo</w:t>
      </w:r>
      <w:r w:rsidR="00A4497F" w:rsidRPr="00B11C24">
        <w:rPr>
          <w:color w:val="auto"/>
        </w:rPr>
        <w:t xml:space="preserve"> </w:t>
      </w:r>
      <w:r w:rsidRPr="00B11C24">
        <w:rPr>
          <w:color w:val="auto"/>
        </w:rPr>
        <w:t xml:space="preserve">zjištěno, že </w:t>
      </w:r>
      <w:r w:rsidR="009C0FEF" w:rsidRPr="00B11C24">
        <w:rPr>
          <w:color w:val="auto"/>
        </w:rPr>
        <w:t>se celkový počet negativních komentářů snižuje</w:t>
      </w:r>
      <w:r w:rsidR="00297C91" w:rsidRPr="00B11C24">
        <w:rPr>
          <w:color w:val="auto"/>
        </w:rPr>
        <w:t>, což lz</w:t>
      </w:r>
      <w:r w:rsidR="00F1400B" w:rsidRPr="00B11C24">
        <w:rPr>
          <w:color w:val="auto"/>
        </w:rPr>
        <w:t>e přičítat tomu, že</w:t>
      </w:r>
      <w:r w:rsidR="009C0FEF" w:rsidRPr="00B11C24">
        <w:rPr>
          <w:color w:val="auto"/>
        </w:rPr>
        <w:t xml:space="preserve"> studenti z vyjádření vedoucích kateder </w:t>
      </w:r>
      <w:r w:rsidR="009C0FEF" w:rsidRPr="00B11C24">
        <w:rPr>
          <w:color w:val="auto"/>
        </w:rPr>
        <w:lastRenderedPageBreak/>
        <w:t>vidí</w:t>
      </w:r>
      <w:r w:rsidR="00F1400B" w:rsidRPr="00B11C24">
        <w:rPr>
          <w:color w:val="auto"/>
        </w:rPr>
        <w:t>, že je s výsledky pracováno</w:t>
      </w:r>
      <w:r w:rsidR="00B11C24" w:rsidRPr="00B11C24">
        <w:rPr>
          <w:color w:val="auto"/>
        </w:rPr>
        <w:t>. J</w:t>
      </w:r>
      <w:r w:rsidR="009C0FEF" w:rsidRPr="00B11C24">
        <w:rPr>
          <w:color w:val="auto"/>
        </w:rPr>
        <w:t>ednou z možných příčin může být i skutečnost, že vyučující v</w:t>
      </w:r>
      <w:r w:rsidR="0087246B" w:rsidRPr="00B11C24">
        <w:rPr>
          <w:color w:val="auto"/>
        </w:rPr>
        <w:t xml:space="preserve"> LS </w:t>
      </w:r>
      <w:r w:rsidR="00314334">
        <w:rPr>
          <w:color w:val="auto"/>
        </w:rPr>
        <w:t xml:space="preserve">v </w:t>
      </w:r>
      <w:r w:rsidR="009C0FEF" w:rsidRPr="00B11C24">
        <w:rPr>
          <w:color w:val="auto"/>
        </w:rPr>
        <w:t>mnoha případech na slovní komentáře rovněž v aplikaci reagují</w:t>
      </w:r>
      <w:r w:rsidR="0087246B" w:rsidRPr="00B11C24">
        <w:rPr>
          <w:color w:val="auto"/>
        </w:rPr>
        <w:t xml:space="preserve"> (</w:t>
      </w:r>
      <w:r w:rsidR="005F4132" w:rsidRPr="00B11C24">
        <w:rPr>
          <w:color w:val="auto"/>
        </w:rPr>
        <w:t xml:space="preserve">v ZS se vyjádřilo 68 vyučujících, </w:t>
      </w:r>
      <w:r w:rsidR="0087246B" w:rsidRPr="00B11C24">
        <w:rPr>
          <w:color w:val="auto"/>
        </w:rPr>
        <w:t>v LS bylo uvedeno 5</w:t>
      </w:r>
      <w:r w:rsidR="00B543CC" w:rsidRPr="00B11C24">
        <w:rPr>
          <w:color w:val="auto"/>
        </w:rPr>
        <w:t>34</w:t>
      </w:r>
      <w:r w:rsidR="0087246B" w:rsidRPr="00B11C24">
        <w:rPr>
          <w:color w:val="auto"/>
        </w:rPr>
        <w:t xml:space="preserve"> komentářů</w:t>
      </w:r>
      <w:r w:rsidR="00B543CC" w:rsidRPr="00B11C24">
        <w:rPr>
          <w:color w:val="auto"/>
        </w:rPr>
        <w:t xml:space="preserve">, např. </w:t>
      </w:r>
      <w:r w:rsidR="00B11C24">
        <w:rPr>
          <w:color w:val="auto"/>
        </w:rPr>
        <w:t>na</w:t>
      </w:r>
      <w:r w:rsidR="00B543CC" w:rsidRPr="00B11C24">
        <w:rPr>
          <w:color w:val="auto"/>
        </w:rPr>
        <w:t xml:space="preserve"> dvou pracoviš</w:t>
      </w:r>
      <w:r w:rsidR="00B11C24">
        <w:rPr>
          <w:color w:val="auto"/>
        </w:rPr>
        <w:t>tích</w:t>
      </w:r>
      <w:r w:rsidR="00B543CC" w:rsidRPr="00B11C24">
        <w:rPr>
          <w:color w:val="auto"/>
        </w:rPr>
        <w:t xml:space="preserve"> se vyučující vyjádřili 134x a 100x</w:t>
      </w:r>
      <w:r w:rsidR="0087246B" w:rsidRPr="00B11C24">
        <w:rPr>
          <w:color w:val="auto"/>
        </w:rPr>
        <w:t>)</w:t>
      </w:r>
      <w:r w:rsidR="009C0FEF" w:rsidRPr="00B11C24">
        <w:rPr>
          <w:color w:val="auto"/>
        </w:rPr>
        <w:t xml:space="preserve">. </w:t>
      </w:r>
    </w:p>
    <w:p w14:paraId="564FAE93" w14:textId="77777777" w:rsidR="005F4132" w:rsidRPr="00B11C24" w:rsidRDefault="00B11C24" w:rsidP="00352759">
      <w:pPr>
        <w:pStyle w:val="Default"/>
        <w:spacing w:line="276" w:lineRule="auto"/>
        <w:jc w:val="both"/>
        <w:rPr>
          <w:color w:val="auto"/>
        </w:rPr>
      </w:pPr>
      <w:r w:rsidRPr="00B11C24">
        <w:rPr>
          <w:color w:val="auto"/>
        </w:rPr>
        <w:t xml:space="preserve">Žebříček nejčastěji </w:t>
      </w:r>
      <w:r w:rsidR="005F4132" w:rsidRPr="00B11C24">
        <w:rPr>
          <w:color w:val="auto"/>
        </w:rPr>
        <w:t>reflektovan</w:t>
      </w:r>
      <w:r w:rsidRPr="00B11C24">
        <w:rPr>
          <w:color w:val="auto"/>
        </w:rPr>
        <w:t>ých</w:t>
      </w:r>
      <w:r w:rsidR="005F4132" w:rsidRPr="00B11C24">
        <w:rPr>
          <w:color w:val="auto"/>
        </w:rPr>
        <w:t xml:space="preserve"> problém</w:t>
      </w:r>
      <w:r w:rsidRPr="00B11C24">
        <w:rPr>
          <w:color w:val="auto"/>
        </w:rPr>
        <w:t>ů</w:t>
      </w:r>
      <w:r w:rsidR="005F4132" w:rsidRPr="00B11C24">
        <w:rPr>
          <w:color w:val="auto"/>
        </w:rPr>
        <w:t xml:space="preserve"> v anketě </w:t>
      </w:r>
      <w:r w:rsidRPr="00B11C24">
        <w:rPr>
          <w:color w:val="auto"/>
        </w:rPr>
        <w:t>je stále stejný, tj</w:t>
      </w:r>
      <w:r>
        <w:rPr>
          <w:color w:val="auto"/>
        </w:rPr>
        <w:t>.</w:t>
      </w:r>
      <w:r w:rsidR="005F4132" w:rsidRPr="00B11C24">
        <w:rPr>
          <w:color w:val="auto"/>
        </w:rPr>
        <w:t>:</w:t>
      </w:r>
    </w:p>
    <w:p w14:paraId="49E91957" w14:textId="77777777" w:rsidR="005F4132" w:rsidRPr="00B11C24" w:rsidRDefault="005F4132" w:rsidP="005F4132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 xml:space="preserve">pozdní příchody vyučujících na výuku a na zkoušky; </w:t>
      </w:r>
    </w:p>
    <w:p w14:paraId="0E7DF394" w14:textId="58820583" w:rsidR="005F4132" w:rsidRPr="00B11C24" w:rsidRDefault="005F4132" w:rsidP="005F4132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 xml:space="preserve">změna podmínek pro ukončení předmětu během semestru či krátce před zkouškovým </w:t>
      </w:r>
      <w:r w:rsidR="00314334">
        <w:rPr>
          <w:rFonts w:eastAsia="Times New Roman"/>
        </w:rPr>
        <w:t>obdobím</w:t>
      </w:r>
      <w:r w:rsidRPr="00B11C24">
        <w:rPr>
          <w:rFonts w:eastAsia="Times New Roman"/>
        </w:rPr>
        <w:t xml:space="preserve">; </w:t>
      </w:r>
    </w:p>
    <w:p w14:paraId="10F6277F" w14:textId="77777777" w:rsidR="005F4132" w:rsidRPr="00B11C24" w:rsidRDefault="005F4132" w:rsidP="005F4132">
      <w:pPr>
        <w:pStyle w:val="Defaul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 xml:space="preserve">problémy s dodržováním termínů; </w:t>
      </w:r>
    </w:p>
    <w:p w14:paraId="4E55E57D" w14:textId="77777777" w:rsidR="005F4132" w:rsidRPr="00B11C24" w:rsidRDefault="005F4132" w:rsidP="005F4132">
      <w:pPr>
        <w:pStyle w:val="Defaul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 xml:space="preserve">chybějící zpětná vazba k vypracovaným úkolům, seminárním pracím; </w:t>
      </w:r>
    </w:p>
    <w:p w14:paraId="5051C8A5" w14:textId="77777777" w:rsidR="005F4132" w:rsidRPr="00B11C24" w:rsidRDefault="005F4132" w:rsidP="005F4132">
      <w:pPr>
        <w:pStyle w:val="Defaul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 xml:space="preserve">nevhodné chování ke studentům; </w:t>
      </w:r>
    </w:p>
    <w:p w14:paraId="6C8B52C8" w14:textId="77777777" w:rsidR="005F4132" w:rsidRPr="00B11C24" w:rsidRDefault="005F4132" w:rsidP="005F4132">
      <w:pPr>
        <w:pStyle w:val="Defaul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 xml:space="preserve">nepřipravenost vyučujícího na výuku; </w:t>
      </w:r>
    </w:p>
    <w:p w14:paraId="37F3B1A0" w14:textId="77777777" w:rsidR="005F4132" w:rsidRPr="00B11C24" w:rsidRDefault="005F4132" w:rsidP="005F4132">
      <w:pPr>
        <w:pStyle w:val="Defaul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>obsah výuky neodpovíd</w:t>
      </w:r>
      <w:r w:rsidR="00B11C24" w:rsidRPr="00B11C24">
        <w:rPr>
          <w:rFonts w:eastAsia="Times New Roman"/>
        </w:rPr>
        <w:t>á</w:t>
      </w:r>
      <w:r w:rsidRPr="00B11C24">
        <w:rPr>
          <w:rFonts w:eastAsia="Times New Roman"/>
        </w:rPr>
        <w:t xml:space="preserve"> sylabu v SIS;  </w:t>
      </w:r>
    </w:p>
    <w:p w14:paraId="1AF2216B" w14:textId="77777777" w:rsidR="005F4132" w:rsidRPr="00B11C24" w:rsidRDefault="005F4132" w:rsidP="005F4132">
      <w:pPr>
        <w:pStyle w:val="Defaul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11C24">
        <w:rPr>
          <w:rFonts w:eastAsia="Times New Roman"/>
        </w:rPr>
        <w:t>vyučující nereaguje na e-mail.</w:t>
      </w:r>
    </w:p>
    <w:p w14:paraId="55F8B4A0" w14:textId="6140CCFC" w:rsidR="00A4497F" w:rsidRPr="0025729F" w:rsidRDefault="00A4497F" w:rsidP="00E30DED">
      <w:pPr>
        <w:pStyle w:val="Default"/>
        <w:spacing w:line="276" w:lineRule="auto"/>
        <w:jc w:val="both"/>
        <w:rPr>
          <w:color w:val="auto"/>
        </w:rPr>
      </w:pPr>
      <w:r w:rsidRPr="00B11C24">
        <w:rPr>
          <w:color w:val="auto"/>
        </w:rPr>
        <w:t xml:space="preserve">Je třeba však zdůraznit, že </w:t>
      </w:r>
      <w:r w:rsidR="00F5381D" w:rsidRPr="00B11C24">
        <w:rPr>
          <w:color w:val="auto"/>
        </w:rPr>
        <w:t xml:space="preserve">naprostá </w:t>
      </w:r>
      <w:r w:rsidRPr="00B11C24">
        <w:rPr>
          <w:color w:val="auto"/>
        </w:rPr>
        <w:t>většina</w:t>
      </w:r>
      <w:r w:rsidRPr="0025729F">
        <w:rPr>
          <w:color w:val="auto"/>
        </w:rPr>
        <w:t xml:space="preserve"> slovních </w:t>
      </w:r>
      <w:r w:rsidR="005F4132" w:rsidRPr="0025729F">
        <w:rPr>
          <w:color w:val="auto"/>
        </w:rPr>
        <w:t>komentářů</w:t>
      </w:r>
      <w:r w:rsidRPr="0025729F">
        <w:rPr>
          <w:color w:val="auto"/>
        </w:rPr>
        <w:t xml:space="preserve"> i číselných hodnocení byla výrazně kladná, což vyučující vnímají jako pozitivní vnitřní motivaci pro svoji další práci. </w:t>
      </w:r>
    </w:p>
    <w:p w14:paraId="41364527" w14:textId="77777777" w:rsidR="00A4497F" w:rsidRDefault="00DE3B5E" w:rsidP="00E30DED">
      <w:pPr>
        <w:pStyle w:val="Default"/>
        <w:spacing w:line="276" w:lineRule="auto"/>
        <w:jc w:val="both"/>
        <w:rPr>
          <w:color w:val="auto"/>
        </w:rPr>
      </w:pPr>
      <w:r w:rsidRPr="0025729F">
        <w:rPr>
          <w:color w:val="auto"/>
        </w:rPr>
        <w:t>Snahou fakulty tedy bude do dalších období hledat cesty, jak podnítit studenty k větší účasti</w:t>
      </w:r>
      <w:r w:rsidR="00E30DED">
        <w:rPr>
          <w:color w:val="auto"/>
        </w:rPr>
        <w:t>.</w:t>
      </w:r>
    </w:p>
    <w:p w14:paraId="5A07B9A4" w14:textId="77777777" w:rsidR="005F4132" w:rsidRDefault="005F4132" w:rsidP="00B543CC"/>
    <w:p w14:paraId="71016F1C" w14:textId="77777777" w:rsidR="00C36649" w:rsidRPr="0025729F" w:rsidRDefault="0008676C" w:rsidP="00AC2419">
      <w:pPr>
        <w:pStyle w:val="Nadpis2"/>
        <w:numPr>
          <w:ilvl w:val="0"/>
          <w:numId w:val="19"/>
        </w:numPr>
        <w:spacing w:before="120" w:after="120"/>
        <w:ind w:left="714" w:hanging="357"/>
        <w:rPr>
          <w:rFonts w:ascii="Times New Roman" w:hAnsi="Times New Roman" w:cs="Times New Roman"/>
          <w:color w:val="auto"/>
        </w:rPr>
      </w:pPr>
      <w:bookmarkStart w:id="16" w:name="_Toc501108821"/>
      <w:r w:rsidRPr="0025729F">
        <w:rPr>
          <w:rFonts w:ascii="Times New Roman" w:hAnsi="Times New Roman" w:cs="Times New Roman"/>
          <w:color w:val="auto"/>
        </w:rPr>
        <w:t>Z</w:t>
      </w:r>
      <w:r w:rsidR="00C36649" w:rsidRPr="0025729F">
        <w:rPr>
          <w:rFonts w:ascii="Times New Roman" w:hAnsi="Times New Roman" w:cs="Times New Roman"/>
          <w:color w:val="auto"/>
        </w:rPr>
        <w:t>působ projednávání výsledků hodnocení s vyučujícími a vedoucími prac</w:t>
      </w:r>
      <w:r w:rsidR="00D42D19" w:rsidRPr="0025729F">
        <w:rPr>
          <w:rFonts w:ascii="Times New Roman" w:hAnsi="Times New Roman" w:cs="Times New Roman"/>
          <w:color w:val="auto"/>
        </w:rPr>
        <w:t>ovišť</w:t>
      </w:r>
      <w:bookmarkEnd w:id="16"/>
      <w:r w:rsidR="00D42D19" w:rsidRPr="0025729F">
        <w:rPr>
          <w:rFonts w:ascii="Times New Roman" w:hAnsi="Times New Roman" w:cs="Times New Roman"/>
          <w:color w:val="auto"/>
        </w:rPr>
        <w:t xml:space="preserve"> </w:t>
      </w:r>
    </w:p>
    <w:p w14:paraId="5F10714B" w14:textId="77777777" w:rsidR="007F7090" w:rsidRPr="0025729F" w:rsidRDefault="007F7090" w:rsidP="007F7090">
      <w:pPr>
        <w:pStyle w:val="Odstavecseseznamem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29F">
        <w:rPr>
          <w:rFonts w:ascii="Times New Roman" w:hAnsi="Times New Roman"/>
          <w:sz w:val="24"/>
          <w:szCs w:val="24"/>
        </w:rPr>
        <w:t xml:space="preserve">Výsledky </w:t>
      </w:r>
      <w:r w:rsidR="00B11C24">
        <w:rPr>
          <w:rFonts w:ascii="Times New Roman" w:hAnsi="Times New Roman"/>
          <w:sz w:val="24"/>
          <w:szCs w:val="24"/>
        </w:rPr>
        <w:t xml:space="preserve">číselného </w:t>
      </w:r>
      <w:r w:rsidRPr="0025729F">
        <w:rPr>
          <w:rFonts w:ascii="Times New Roman" w:hAnsi="Times New Roman"/>
          <w:sz w:val="24"/>
          <w:szCs w:val="24"/>
        </w:rPr>
        <w:t>hodnocení i slovní komentáře byly přístupné</w:t>
      </w:r>
      <w:r w:rsidR="00AC2419">
        <w:rPr>
          <w:rFonts w:ascii="Times New Roman" w:hAnsi="Times New Roman"/>
          <w:sz w:val="24"/>
          <w:szCs w:val="24"/>
        </w:rPr>
        <w:t xml:space="preserve"> </w:t>
      </w:r>
      <w:r w:rsidR="00B11C24" w:rsidRPr="0025729F">
        <w:rPr>
          <w:rFonts w:ascii="Times New Roman" w:hAnsi="Times New Roman"/>
          <w:sz w:val="24"/>
          <w:szCs w:val="24"/>
        </w:rPr>
        <w:t xml:space="preserve">v obou semestrech </w:t>
      </w:r>
      <w:r w:rsidR="00AC2419">
        <w:rPr>
          <w:rFonts w:ascii="Times New Roman" w:hAnsi="Times New Roman"/>
          <w:sz w:val="24"/>
          <w:szCs w:val="24"/>
        </w:rPr>
        <w:t>všem</w:t>
      </w:r>
      <w:r w:rsidR="00B11C24">
        <w:rPr>
          <w:rFonts w:ascii="Times New Roman" w:hAnsi="Times New Roman"/>
          <w:sz w:val="24"/>
          <w:szCs w:val="24"/>
        </w:rPr>
        <w:t xml:space="preserve"> </w:t>
      </w:r>
      <w:r w:rsidR="00B11C24" w:rsidRPr="0025729F">
        <w:rPr>
          <w:rFonts w:ascii="Times New Roman" w:hAnsi="Times New Roman"/>
          <w:sz w:val="24"/>
          <w:szCs w:val="24"/>
        </w:rPr>
        <w:t>vyučujícím,</w:t>
      </w:r>
      <w:r w:rsidR="00B11C24">
        <w:rPr>
          <w:rFonts w:ascii="Times New Roman" w:hAnsi="Times New Roman"/>
          <w:sz w:val="24"/>
          <w:szCs w:val="24"/>
        </w:rPr>
        <w:t xml:space="preserve"> </w:t>
      </w:r>
      <w:r w:rsidRPr="0025729F">
        <w:rPr>
          <w:rFonts w:ascii="Times New Roman" w:hAnsi="Times New Roman"/>
          <w:sz w:val="24"/>
          <w:szCs w:val="24"/>
        </w:rPr>
        <w:t>vedoucím</w:t>
      </w:r>
      <w:r w:rsidR="00AC2419">
        <w:rPr>
          <w:rFonts w:ascii="Times New Roman" w:hAnsi="Times New Roman"/>
          <w:sz w:val="24"/>
          <w:szCs w:val="24"/>
        </w:rPr>
        <w:t xml:space="preserve"> </w:t>
      </w:r>
      <w:r w:rsidRPr="0025729F">
        <w:rPr>
          <w:rFonts w:ascii="Times New Roman" w:hAnsi="Times New Roman"/>
          <w:sz w:val="24"/>
          <w:szCs w:val="24"/>
        </w:rPr>
        <w:t>kated</w:t>
      </w:r>
      <w:r w:rsidR="00AC2419">
        <w:rPr>
          <w:rFonts w:ascii="Times New Roman" w:hAnsi="Times New Roman"/>
          <w:sz w:val="24"/>
          <w:szCs w:val="24"/>
        </w:rPr>
        <w:t>e</w:t>
      </w:r>
      <w:r w:rsidRPr="0025729F">
        <w:rPr>
          <w:rFonts w:ascii="Times New Roman" w:hAnsi="Times New Roman"/>
          <w:sz w:val="24"/>
          <w:szCs w:val="24"/>
        </w:rPr>
        <w:t xml:space="preserve">r, proděkankám pro studijní záležitosti a děkanovi fakulty. </w:t>
      </w:r>
      <w:r w:rsidR="00C2319B" w:rsidRPr="0025729F">
        <w:rPr>
          <w:rFonts w:ascii="Times New Roman" w:hAnsi="Times New Roman"/>
          <w:sz w:val="24"/>
          <w:szCs w:val="24"/>
        </w:rPr>
        <w:t>Všichni výše jmenovaní se mohli ke slovním komentářům</w:t>
      </w:r>
      <w:r w:rsidR="00875797" w:rsidRPr="0025729F">
        <w:rPr>
          <w:rFonts w:ascii="Times New Roman" w:hAnsi="Times New Roman"/>
          <w:sz w:val="24"/>
          <w:szCs w:val="24"/>
        </w:rPr>
        <w:t xml:space="preserve"> také </w:t>
      </w:r>
      <w:r w:rsidR="00C2319B" w:rsidRPr="0025729F">
        <w:rPr>
          <w:rFonts w:ascii="Times New Roman" w:hAnsi="Times New Roman"/>
          <w:sz w:val="24"/>
          <w:szCs w:val="24"/>
        </w:rPr>
        <w:t>vyjádřit.</w:t>
      </w:r>
    </w:p>
    <w:p w14:paraId="14D72849" w14:textId="77777777" w:rsidR="008E1296" w:rsidRPr="0025729F" w:rsidRDefault="007F7090" w:rsidP="00AC2419">
      <w:pPr>
        <w:pStyle w:val="Odstavecseseznamem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29F">
        <w:rPr>
          <w:rFonts w:ascii="Times New Roman" w:hAnsi="Times New Roman"/>
          <w:sz w:val="24"/>
          <w:szCs w:val="24"/>
        </w:rPr>
        <w:t>V</w:t>
      </w:r>
      <w:r w:rsidR="00AC2419">
        <w:rPr>
          <w:rFonts w:ascii="Times New Roman" w:hAnsi="Times New Roman"/>
          <w:sz w:val="24"/>
          <w:szCs w:val="24"/>
        </w:rPr>
        <w:t xml:space="preserve"> obou semestrech </w:t>
      </w:r>
      <w:r w:rsidRPr="0025729F">
        <w:rPr>
          <w:rFonts w:ascii="Times New Roman" w:hAnsi="Times New Roman"/>
          <w:sz w:val="24"/>
          <w:szCs w:val="24"/>
        </w:rPr>
        <w:t xml:space="preserve">byli vedoucí kateder </w:t>
      </w:r>
      <w:r w:rsidR="00AC2419">
        <w:rPr>
          <w:rFonts w:ascii="Times New Roman" w:hAnsi="Times New Roman"/>
          <w:sz w:val="24"/>
          <w:szCs w:val="24"/>
        </w:rPr>
        <w:t xml:space="preserve">vyzváni k projednání výsledků se svými pracovníky a k písemnému vyjádření, které mělo za cíl výsledky, ať už pozitivní či negativní, reflektovat. V případě opakujících se negativních slovních komentářů (následně podložených analýzou dostupných informací) byly </w:t>
      </w:r>
      <w:r w:rsidR="00B11C24">
        <w:rPr>
          <w:rFonts w:ascii="Times New Roman" w:hAnsi="Times New Roman"/>
          <w:sz w:val="24"/>
          <w:szCs w:val="24"/>
        </w:rPr>
        <w:t>tyto</w:t>
      </w:r>
      <w:r w:rsidR="00AC2419">
        <w:rPr>
          <w:rFonts w:ascii="Times New Roman" w:hAnsi="Times New Roman"/>
          <w:sz w:val="24"/>
          <w:szCs w:val="24"/>
        </w:rPr>
        <w:t xml:space="preserve"> projednány s příslušným vedoucím katedry. Vyjádření vedoucích kateder bylo následně vyvěšeno ve veřejné části internetových stránek fakulty v odkazu „Hodnocení výuky studenty“ (</w:t>
      </w:r>
      <w:r w:rsidR="00AC2419" w:rsidRPr="00AC2419">
        <w:rPr>
          <w:rFonts w:ascii="Times New Roman" w:hAnsi="Times New Roman"/>
          <w:sz w:val="24"/>
          <w:szCs w:val="24"/>
        </w:rPr>
        <w:t>https://www.pedf.cuni.cz/PEDF-1427.html</w:t>
      </w:r>
      <w:r w:rsidR="00AC2419">
        <w:rPr>
          <w:rFonts w:ascii="Times New Roman" w:hAnsi="Times New Roman"/>
          <w:sz w:val="24"/>
          <w:szCs w:val="24"/>
        </w:rPr>
        <w:t>).</w:t>
      </w:r>
    </w:p>
    <w:p w14:paraId="1D312A6D" w14:textId="77777777" w:rsidR="00700AAD" w:rsidRPr="0025729F" w:rsidRDefault="00B11C24" w:rsidP="0001219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Diskuse k </w:t>
      </w:r>
      <w:r w:rsidR="00F5381D" w:rsidRPr="0025729F">
        <w:rPr>
          <w:color w:val="auto"/>
        </w:rPr>
        <w:t>výsledků</w:t>
      </w:r>
      <w:r>
        <w:rPr>
          <w:color w:val="auto"/>
        </w:rPr>
        <w:t>m</w:t>
      </w:r>
      <w:r w:rsidR="00F5381D" w:rsidRPr="0025729F">
        <w:rPr>
          <w:color w:val="auto"/>
        </w:rPr>
        <w:t xml:space="preserve"> </w:t>
      </w:r>
      <w:r w:rsidR="00AC2419">
        <w:rPr>
          <w:color w:val="auto"/>
        </w:rPr>
        <w:t>byl</w:t>
      </w:r>
      <w:r>
        <w:rPr>
          <w:color w:val="auto"/>
        </w:rPr>
        <w:t>a</w:t>
      </w:r>
      <w:r w:rsidR="00AC2419">
        <w:rPr>
          <w:color w:val="auto"/>
        </w:rPr>
        <w:t xml:space="preserve"> podpořen</w:t>
      </w:r>
      <w:r>
        <w:rPr>
          <w:color w:val="auto"/>
        </w:rPr>
        <w:t>a i</w:t>
      </w:r>
      <w:r w:rsidR="00AC2419">
        <w:rPr>
          <w:color w:val="auto"/>
        </w:rPr>
        <w:t xml:space="preserve"> aktivitou studentských oborových rad, jejichž členové </w:t>
      </w:r>
      <w:r w:rsidR="00F5381D" w:rsidRPr="0025729F">
        <w:rPr>
          <w:color w:val="auto"/>
        </w:rPr>
        <w:t>projednáv</w:t>
      </w:r>
      <w:r w:rsidR="00AC2419">
        <w:rPr>
          <w:color w:val="auto"/>
        </w:rPr>
        <w:t>ali</w:t>
      </w:r>
      <w:r w:rsidR="00F5381D" w:rsidRPr="0025729F">
        <w:rPr>
          <w:color w:val="auto"/>
        </w:rPr>
        <w:t xml:space="preserve"> výsledk</w:t>
      </w:r>
      <w:r w:rsidR="00AC2419">
        <w:rPr>
          <w:color w:val="auto"/>
        </w:rPr>
        <w:t>y hodnocení</w:t>
      </w:r>
      <w:r w:rsidR="00F5381D" w:rsidRPr="0025729F">
        <w:rPr>
          <w:color w:val="auto"/>
        </w:rPr>
        <w:t xml:space="preserve"> s vedoucími kateder</w:t>
      </w:r>
      <w:r w:rsidR="00AC2419">
        <w:rPr>
          <w:color w:val="auto"/>
        </w:rPr>
        <w:t xml:space="preserve"> a přispěli tak k větší medializaci</w:t>
      </w:r>
      <w:r w:rsidR="0001219B">
        <w:rPr>
          <w:color w:val="auto"/>
        </w:rPr>
        <w:t xml:space="preserve"> výsledků hodnocení směrem ke studentům. </w:t>
      </w:r>
    </w:p>
    <w:p w14:paraId="02354A07" w14:textId="77777777" w:rsidR="00E30DED" w:rsidRDefault="0001219B" w:rsidP="00E30DED">
      <w:pPr>
        <w:pStyle w:val="Odstavecseseznamem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hodnocení tzv. obecných o</w:t>
      </w:r>
      <w:r w:rsidR="00E30DED">
        <w:rPr>
          <w:rFonts w:ascii="Times New Roman" w:hAnsi="Times New Roman"/>
          <w:sz w:val="24"/>
          <w:szCs w:val="24"/>
        </w:rPr>
        <w:t>táz</w:t>
      </w:r>
      <w:r>
        <w:rPr>
          <w:rFonts w:ascii="Times New Roman" w:hAnsi="Times New Roman"/>
          <w:sz w:val="24"/>
          <w:szCs w:val="24"/>
        </w:rPr>
        <w:t>e</w:t>
      </w:r>
      <w:r w:rsidR="00E30DED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b</w:t>
      </w:r>
      <w:r w:rsidR="00E30DED">
        <w:rPr>
          <w:rFonts w:ascii="Times New Roman" w:hAnsi="Times New Roman"/>
          <w:sz w:val="24"/>
          <w:szCs w:val="24"/>
        </w:rPr>
        <w:t>yly roztříděn</w:t>
      </w:r>
      <w:r w:rsidR="00B11C24">
        <w:rPr>
          <w:rFonts w:ascii="Times New Roman" w:hAnsi="Times New Roman"/>
          <w:sz w:val="24"/>
          <w:szCs w:val="24"/>
        </w:rPr>
        <w:t>y</w:t>
      </w:r>
      <w:r w:rsidR="00E30DED">
        <w:rPr>
          <w:rFonts w:ascii="Times New Roman" w:hAnsi="Times New Roman"/>
          <w:sz w:val="24"/>
          <w:szCs w:val="24"/>
        </w:rPr>
        <w:t xml:space="preserve"> podle jednotlivých oblastí a předány vedoucím jednotlivých pracoviš</w:t>
      </w:r>
      <w:r>
        <w:rPr>
          <w:rFonts w:ascii="Times New Roman" w:hAnsi="Times New Roman"/>
          <w:sz w:val="24"/>
          <w:szCs w:val="24"/>
        </w:rPr>
        <w:t xml:space="preserve">ť, </w:t>
      </w:r>
      <w:r w:rsidR="00E30DED">
        <w:rPr>
          <w:rFonts w:ascii="Times New Roman" w:hAnsi="Times New Roman"/>
          <w:sz w:val="24"/>
          <w:szCs w:val="24"/>
        </w:rPr>
        <w:t>zajišťující</w:t>
      </w:r>
      <w:r>
        <w:rPr>
          <w:rFonts w:ascii="Times New Roman" w:hAnsi="Times New Roman"/>
          <w:sz w:val="24"/>
          <w:szCs w:val="24"/>
        </w:rPr>
        <w:t>ch</w:t>
      </w:r>
      <w:r w:rsidR="00E30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hodnocenou </w:t>
      </w:r>
      <w:r w:rsidR="00E30DED">
        <w:rPr>
          <w:rFonts w:ascii="Times New Roman" w:hAnsi="Times New Roman"/>
          <w:sz w:val="24"/>
          <w:szCs w:val="24"/>
        </w:rPr>
        <w:t>oblast.</w:t>
      </w:r>
    </w:p>
    <w:p w14:paraId="5165AB62" w14:textId="77777777" w:rsidR="00AE4298" w:rsidRPr="0025729F" w:rsidRDefault="00AE4298" w:rsidP="00352759">
      <w:pPr>
        <w:pStyle w:val="Default"/>
        <w:spacing w:line="276" w:lineRule="auto"/>
        <w:rPr>
          <w:color w:val="auto"/>
        </w:rPr>
      </w:pPr>
    </w:p>
    <w:p w14:paraId="446CBB53" w14:textId="77777777" w:rsidR="00C36649" w:rsidRPr="0001219B" w:rsidRDefault="0008676C" w:rsidP="0025729F">
      <w:pPr>
        <w:pStyle w:val="Nadpis2"/>
        <w:numPr>
          <w:ilvl w:val="0"/>
          <w:numId w:val="19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17" w:name="_Toc501108822"/>
      <w:r w:rsidRPr="0001219B">
        <w:rPr>
          <w:rFonts w:ascii="Times New Roman" w:hAnsi="Times New Roman" w:cs="Times New Roman"/>
          <w:color w:val="auto"/>
        </w:rPr>
        <w:t>D</w:t>
      </w:r>
      <w:r w:rsidR="00C36649" w:rsidRPr="0001219B">
        <w:rPr>
          <w:rFonts w:ascii="Times New Roman" w:hAnsi="Times New Roman" w:cs="Times New Roman"/>
          <w:color w:val="auto"/>
        </w:rPr>
        <w:t>ostupnost výsledků pro studenty, vyučujíc</w:t>
      </w:r>
      <w:r w:rsidR="00D42D19" w:rsidRPr="0001219B">
        <w:rPr>
          <w:rFonts w:ascii="Times New Roman" w:hAnsi="Times New Roman" w:cs="Times New Roman"/>
          <w:color w:val="auto"/>
        </w:rPr>
        <w:t>í a vedoucí pracovišť</w:t>
      </w:r>
      <w:bookmarkEnd w:id="17"/>
      <w:r w:rsidR="00D42D19" w:rsidRPr="0001219B">
        <w:rPr>
          <w:rFonts w:ascii="Times New Roman" w:hAnsi="Times New Roman" w:cs="Times New Roman"/>
          <w:color w:val="auto"/>
        </w:rPr>
        <w:t xml:space="preserve"> </w:t>
      </w:r>
      <w:r w:rsidR="00C36649" w:rsidRPr="0001219B">
        <w:rPr>
          <w:rFonts w:ascii="Times New Roman" w:hAnsi="Times New Roman" w:cs="Times New Roman"/>
          <w:color w:val="auto"/>
        </w:rPr>
        <w:t xml:space="preserve"> </w:t>
      </w:r>
    </w:p>
    <w:p w14:paraId="1A5B3F23" w14:textId="77777777" w:rsidR="00394270" w:rsidRPr="0001219B" w:rsidRDefault="00394270" w:rsidP="00352759">
      <w:pPr>
        <w:pStyle w:val="Default"/>
        <w:spacing w:line="276" w:lineRule="auto"/>
        <w:jc w:val="both"/>
        <w:rPr>
          <w:color w:val="auto"/>
        </w:rPr>
      </w:pPr>
      <w:r w:rsidRPr="0001219B">
        <w:rPr>
          <w:color w:val="auto"/>
        </w:rPr>
        <w:t>Pro zveřejňování informací k hodnocení výuky studenty</w:t>
      </w:r>
      <w:r w:rsidR="00092644" w:rsidRPr="0001219B">
        <w:rPr>
          <w:color w:val="auto"/>
        </w:rPr>
        <w:t xml:space="preserve"> </w:t>
      </w:r>
      <w:r w:rsidRPr="0001219B">
        <w:rPr>
          <w:color w:val="auto"/>
        </w:rPr>
        <w:t xml:space="preserve">byla zřízena ve veřejné části </w:t>
      </w:r>
      <w:r w:rsidR="00CE0F16" w:rsidRPr="0001219B">
        <w:rPr>
          <w:color w:val="auto"/>
        </w:rPr>
        <w:t xml:space="preserve">internetových </w:t>
      </w:r>
      <w:r w:rsidRPr="0001219B">
        <w:rPr>
          <w:color w:val="auto"/>
        </w:rPr>
        <w:t>stránek fakulty zvláštní stránka, která obsahuje kromě základních informací o hodnocení i jednoduchý grafický návod</w:t>
      </w:r>
      <w:r w:rsidR="00092644" w:rsidRPr="0001219B">
        <w:rPr>
          <w:color w:val="auto"/>
        </w:rPr>
        <w:t xml:space="preserve"> pro studenty</w:t>
      </w:r>
      <w:r w:rsidRPr="0001219B">
        <w:rPr>
          <w:color w:val="auto"/>
        </w:rPr>
        <w:t>, jak hodnotit, dále odkaz na přístup do aplikace</w:t>
      </w:r>
      <w:r w:rsidR="00092644" w:rsidRPr="0001219B">
        <w:rPr>
          <w:color w:val="auto"/>
        </w:rPr>
        <w:t>,</w:t>
      </w:r>
      <w:r w:rsidRPr="0001219B">
        <w:rPr>
          <w:color w:val="auto"/>
        </w:rPr>
        <w:t xml:space="preserve"> harmonogram vyhlášeného sběru dat a po jeho ukončení pak také </w:t>
      </w:r>
      <w:r w:rsidR="00F1400B" w:rsidRPr="0001219B">
        <w:rPr>
          <w:color w:val="auto"/>
        </w:rPr>
        <w:t xml:space="preserve">volný </w:t>
      </w:r>
      <w:r w:rsidRPr="0001219B">
        <w:rPr>
          <w:color w:val="auto"/>
        </w:rPr>
        <w:t>přístup do aplika</w:t>
      </w:r>
      <w:r w:rsidR="00092644" w:rsidRPr="0001219B">
        <w:rPr>
          <w:color w:val="auto"/>
        </w:rPr>
        <w:t xml:space="preserve">ce, kde je možno sledovat číselné hodnocení, vč. počtu hodnotících studentů ve srovnání </w:t>
      </w:r>
      <w:r w:rsidR="00092644" w:rsidRPr="0001219B">
        <w:rPr>
          <w:color w:val="auto"/>
        </w:rPr>
        <w:lastRenderedPageBreak/>
        <w:t>s počtem zapsaných studentů do daného předmětu či paralelní skupiny.</w:t>
      </w:r>
      <w:r w:rsidR="00F1400B" w:rsidRPr="0001219B">
        <w:rPr>
          <w:color w:val="auto"/>
        </w:rPr>
        <w:t xml:space="preserve"> </w:t>
      </w:r>
      <w:r w:rsidR="002301D6" w:rsidRPr="0001219B">
        <w:rPr>
          <w:color w:val="auto"/>
        </w:rPr>
        <w:t>Zkušenosti ukázaly</w:t>
      </w:r>
      <w:r w:rsidR="00F1400B" w:rsidRPr="0001219B">
        <w:rPr>
          <w:color w:val="auto"/>
        </w:rPr>
        <w:t>, že tato data sledují i zájemci o studium na naší fakultě.</w:t>
      </w:r>
      <w:r w:rsidR="003B229D" w:rsidRPr="0001219B">
        <w:rPr>
          <w:color w:val="auto"/>
        </w:rPr>
        <w:t xml:space="preserve"> </w:t>
      </w:r>
    </w:p>
    <w:p w14:paraId="0E477931" w14:textId="77777777" w:rsidR="00453B30" w:rsidRPr="0001219B" w:rsidRDefault="00C36649" w:rsidP="00FD132D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18" w:name="_Toc501108823"/>
      <w:r w:rsidRPr="0001219B">
        <w:rPr>
          <w:rFonts w:ascii="Times New Roman" w:hAnsi="Times New Roman" w:cs="Times New Roman"/>
          <w:color w:val="auto"/>
        </w:rPr>
        <w:t>Část II.</w:t>
      </w:r>
      <w:bookmarkEnd w:id="18"/>
    </w:p>
    <w:p w14:paraId="67010452" w14:textId="77777777" w:rsidR="00C36649" w:rsidRPr="0001219B" w:rsidRDefault="00C36649" w:rsidP="00FD132D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19" w:name="_Toc501108824"/>
      <w:r w:rsidRPr="0001219B">
        <w:rPr>
          <w:rFonts w:ascii="Times New Roman" w:hAnsi="Times New Roman" w:cs="Times New Roman"/>
          <w:color w:val="auto"/>
        </w:rPr>
        <w:t>Hodnocení výuky v doktorských studijních programech</w:t>
      </w:r>
      <w:bookmarkEnd w:id="19"/>
    </w:p>
    <w:p w14:paraId="2D0FAE7C" w14:textId="77777777" w:rsidR="0025729F" w:rsidRPr="0001219B" w:rsidRDefault="0025729F" w:rsidP="0025729F"/>
    <w:p w14:paraId="4DA585B7" w14:textId="77777777" w:rsidR="00A6155E" w:rsidRPr="0001219B" w:rsidRDefault="00513967" w:rsidP="00352759">
      <w:pPr>
        <w:pStyle w:val="Normlnweb"/>
        <w:spacing w:before="0" w:beforeAutospacing="0" w:after="0" w:afterAutospacing="0" w:line="276" w:lineRule="auto"/>
        <w:jc w:val="both"/>
      </w:pPr>
      <w:r w:rsidRPr="0001219B">
        <w:t xml:space="preserve">Hodnocení </w:t>
      </w:r>
      <w:r w:rsidR="00A6155E" w:rsidRPr="0001219B">
        <w:t xml:space="preserve">v doktorských studijních programech </w:t>
      </w:r>
      <w:r w:rsidR="003B229D" w:rsidRPr="0001219B">
        <w:t xml:space="preserve">proběhlo pilotně v aplikaci FF UK v prosinci </w:t>
      </w:r>
      <w:r w:rsidR="00A6155E" w:rsidRPr="0001219B">
        <w:t>2017</w:t>
      </w:r>
      <w:r w:rsidR="003B229D" w:rsidRPr="0001219B">
        <w:t>, kdy se studenti doktorských programů mohli vyjádřit</w:t>
      </w:r>
      <w:r w:rsidR="00BC7A1D" w:rsidRPr="0001219B">
        <w:t xml:space="preserve"> k předmětům vyučovaným v předchozím akademickém roce</w:t>
      </w:r>
      <w:r w:rsidR="00472F52" w:rsidRPr="0001219B">
        <w:t>, tj. 2016/2017</w:t>
      </w:r>
      <w:r w:rsidR="00BC7A1D" w:rsidRPr="0001219B">
        <w:t xml:space="preserve">. </w:t>
      </w:r>
      <w:r w:rsidRPr="0001219B">
        <w:t xml:space="preserve">Hodnocení </w:t>
      </w:r>
      <w:r w:rsidR="00472F52" w:rsidRPr="0001219B">
        <w:t xml:space="preserve">reflektovalo nejen </w:t>
      </w:r>
      <w:r w:rsidRPr="0001219B">
        <w:t xml:space="preserve">výuku v jednotlivých </w:t>
      </w:r>
      <w:r w:rsidR="00E25D4C" w:rsidRPr="0001219B">
        <w:t xml:space="preserve">předmětech, ale i další </w:t>
      </w:r>
      <w:r w:rsidR="00472F52" w:rsidRPr="0001219B">
        <w:t>oblasti</w:t>
      </w:r>
      <w:r w:rsidR="00E25D4C" w:rsidRPr="0001219B">
        <w:t>, které jsou nedílnou součástí studia v doktorských programech, jako jsou např. stáže v zahraničí, dostupnost studijní literatury, technické a materiální vybavení fakulty, frekvence konzultací se školiteli při psaní disertační práce</w:t>
      </w:r>
      <w:r w:rsidR="00875797" w:rsidRPr="0001219B">
        <w:t>,</w:t>
      </w:r>
      <w:r w:rsidR="00E25D4C" w:rsidRPr="0001219B">
        <w:t xml:space="preserve"> při podávání žádosti o granty či při tvorbě výstupů na konference</w:t>
      </w:r>
      <w:r w:rsidR="00214FCE" w:rsidRPr="0001219B">
        <w:t xml:space="preserve"> (viz tab. 4</w:t>
      </w:r>
      <w:r w:rsidR="00472F52" w:rsidRPr="0001219B">
        <w:t xml:space="preserve"> a 5</w:t>
      </w:r>
      <w:r w:rsidR="00214FCE" w:rsidRPr="0001219B">
        <w:t>)</w:t>
      </w:r>
      <w:r w:rsidR="0001219B">
        <w:t>.</w:t>
      </w:r>
    </w:p>
    <w:p w14:paraId="62079FEF" w14:textId="77777777" w:rsidR="00472F52" w:rsidRPr="0001219B" w:rsidRDefault="00472F52" w:rsidP="00352759">
      <w:pPr>
        <w:pStyle w:val="Normlnweb"/>
        <w:spacing w:before="0" w:beforeAutospacing="0" w:after="0" w:afterAutospacing="0" w:line="276" w:lineRule="auto"/>
        <w:jc w:val="both"/>
      </w:pPr>
    </w:p>
    <w:p w14:paraId="598F8796" w14:textId="77777777" w:rsidR="00214FCE" w:rsidRPr="0001219B" w:rsidRDefault="00214FCE" w:rsidP="00352759">
      <w:pPr>
        <w:pStyle w:val="Normlnweb"/>
        <w:spacing w:before="0" w:beforeAutospacing="0" w:after="0" w:afterAutospacing="0" w:line="276" w:lineRule="auto"/>
        <w:jc w:val="both"/>
      </w:pPr>
      <w:r w:rsidRPr="0001219B">
        <w:t>Tab.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472F52" w:rsidRPr="0001219B" w14:paraId="73E99626" w14:textId="77777777" w:rsidTr="00A70819">
        <w:trPr>
          <w:trHeight w:val="20"/>
        </w:trPr>
        <w:tc>
          <w:tcPr>
            <w:tcW w:w="7933" w:type="dxa"/>
            <w:vAlign w:val="bottom"/>
          </w:tcPr>
          <w:p w14:paraId="725177AE" w14:textId="77777777" w:rsidR="00472F52" w:rsidRPr="0001219B" w:rsidRDefault="00472F52" w:rsidP="00A7081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Otázky ke studiu</w:t>
            </w:r>
          </w:p>
        </w:tc>
        <w:tc>
          <w:tcPr>
            <w:tcW w:w="1129" w:type="dxa"/>
          </w:tcPr>
          <w:p w14:paraId="3A694785" w14:textId="77777777" w:rsidR="00472F52" w:rsidRPr="0001219B" w:rsidRDefault="00472F52" w:rsidP="00A7081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2F52" w:rsidRPr="0001219B" w14:paraId="429EA33C" w14:textId="77777777" w:rsidTr="00A70819">
        <w:trPr>
          <w:trHeight w:val="364"/>
        </w:trPr>
        <w:tc>
          <w:tcPr>
            <w:tcW w:w="7933" w:type="dxa"/>
            <w:vAlign w:val="center"/>
          </w:tcPr>
          <w:p w14:paraId="63323207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Máte složenou SDZ? </w:t>
            </w:r>
          </w:p>
        </w:tc>
        <w:tc>
          <w:tcPr>
            <w:tcW w:w="1129" w:type="dxa"/>
          </w:tcPr>
          <w:p w14:paraId="17B62B0F" w14:textId="77777777" w:rsidR="00472F52" w:rsidRPr="0001219B" w:rsidRDefault="00472F52" w:rsidP="00A7081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výběr </w:t>
            </w:r>
          </w:p>
        </w:tc>
      </w:tr>
      <w:tr w:rsidR="00472F52" w:rsidRPr="0001219B" w14:paraId="617A9C11" w14:textId="77777777" w:rsidTr="00A70819">
        <w:trPr>
          <w:trHeight w:val="20"/>
        </w:trPr>
        <w:tc>
          <w:tcPr>
            <w:tcW w:w="7933" w:type="dxa"/>
            <w:vAlign w:val="center"/>
          </w:tcPr>
          <w:p w14:paraId="5AE904E5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Pokud máte složenou SDZ: Jak v případě Vašeho studia probíhala státní doktorská zkouška? Byla pro Vás přínosná? Máte případně nějaké návrhy na její zlepšení?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6DA5B3" w14:textId="77777777" w:rsidR="00472F52" w:rsidRPr="0001219B" w:rsidRDefault="00472F52" w:rsidP="00A7081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text</w:t>
            </w:r>
          </w:p>
        </w:tc>
      </w:tr>
      <w:tr w:rsidR="00472F52" w:rsidRPr="0001219B" w14:paraId="3FBA3C12" w14:textId="77777777" w:rsidTr="00A70819">
        <w:trPr>
          <w:trHeight w:val="20"/>
        </w:trPr>
        <w:tc>
          <w:tcPr>
            <w:tcW w:w="7933" w:type="dxa"/>
            <w:vAlign w:val="center"/>
          </w:tcPr>
          <w:p w14:paraId="37C2226D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Pokládáte frekvenci konzultací Vaší disertační práce se školitelem/konzultantem za přiměřenou potřebě? Byly tyto konzultace pro Vás přínosné? Spolupracuje s Vámi školitel/konzultant i na přípravě a finalizaci dalších Vašich odborných výstupů v rámci studia (příspěvky na konferencích, publikační výstupy, grantové projekty)?</w:t>
            </w:r>
          </w:p>
        </w:tc>
        <w:tc>
          <w:tcPr>
            <w:tcW w:w="1129" w:type="dxa"/>
            <w:shd w:val="clear" w:color="auto" w:fill="auto"/>
          </w:tcPr>
          <w:p w14:paraId="2DAF78CE" w14:textId="77777777" w:rsidR="00472F52" w:rsidRPr="0001219B" w:rsidRDefault="00472F52" w:rsidP="00A70819">
            <w:pPr>
              <w:pStyle w:val="Nadpis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text</w:t>
            </w:r>
          </w:p>
        </w:tc>
      </w:tr>
      <w:tr w:rsidR="00472F52" w:rsidRPr="0001219B" w14:paraId="3374CF38" w14:textId="77777777" w:rsidTr="00A70819">
        <w:trPr>
          <w:trHeight w:val="20"/>
        </w:trPr>
        <w:tc>
          <w:tcPr>
            <w:tcW w:w="7933" w:type="dxa"/>
            <w:vAlign w:val="center"/>
          </w:tcPr>
          <w:p w14:paraId="669F5215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Jak hodnotíte organizační a administrativní zajištění Vašeho studia na </w:t>
            </w:r>
            <w:proofErr w:type="spellStart"/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PedF</w:t>
            </w:r>
            <w:proofErr w:type="spellEnd"/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UK? Využíval/a jste při studiu technické a materiální vybavení fakulty/pracoviště (např. laboratoře, IT zařízení, elektronické informační zdroje, studovna, knihovna)? Považujete technické a materiální vybavení fakulty/pracoviště za odpovídající Vašim potřebám, případně co jste postrádal/a?</w:t>
            </w:r>
          </w:p>
        </w:tc>
        <w:tc>
          <w:tcPr>
            <w:tcW w:w="1129" w:type="dxa"/>
            <w:shd w:val="clear" w:color="auto" w:fill="auto"/>
          </w:tcPr>
          <w:p w14:paraId="091CDDC7" w14:textId="77777777" w:rsidR="00472F52" w:rsidRPr="0001219B" w:rsidRDefault="00472F52" w:rsidP="00A70819">
            <w:pPr>
              <w:pStyle w:val="Nadpis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text</w:t>
            </w:r>
          </w:p>
        </w:tc>
      </w:tr>
      <w:tr w:rsidR="00472F52" w:rsidRPr="0001219B" w14:paraId="55280EAA" w14:textId="77777777" w:rsidTr="00A70819">
        <w:trPr>
          <w:trHeight w:val="20"/>
        </w:trPr>
        <w:tc>
          <w:tcPr>
            <w:tcW w:w="7933" w:type="dxa"/>
            <w:vAlign w:val="center"/>
          </w:tcPr>
          <w:p w14:paraId="233E6C77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Absolvoval/a jste v rámci Vašeho studia zahraniční stáž/studijní pobyt?</w:t>
            </w:r>
          </w:p>
        </w:tc>
        <w:tc>
          <w:tcPr>
            <w:tcW w:w="1129" w:type="dxa"/>
            <w:shd w:val="clear" w:color="auto" w:fill="auto"/>
          </w:tcPr>
          <w:p w14:paraId="2CD3D1E5" w14:textId="77777777" w:rsidR="00472F52" w:rsidRPr="0001219B" w:rsidRDefault="00472F52" w:rsidP="00A7081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výběr </w:t>
            </w:r>
          </w:p>
        </w:tc>
      </w:tr>
      <w:tr w:rsidR="00472F52" w:rsidRPr="0001219B" w14:paraId="6510CA69" w14:textId="77777777" w:rsidTr="00A70819">
        <w:trPr>
          <w:trHeight w:val="20"/>
        </w:trPr>
        <w:tc>
          <w:tcPr>
            <w:tcW w:w="7933" w:type="dxa"/>
            <w:vAlign w:val="center"/>
          </w:tcPr>
          <w:p w14:paraId="7CC76CBE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Pokud jste v rámci Vašeho studia zahraniční stáž/studijní pobyt: Byla pro Vaše studium zahraniční zkušenost přínosná a v čem, případně v čem a proč nebyla? Pokud jste v rámci Vašeho výjezdu využil/a organizační a administrativní zajištění ze strany fakulty, jak tuto podporu hodnotíte?</w:t>
            </w:r>
          </w:p>
        </w:tc>
        <w:tc>
          <w:tcPr>
            <w:tcW w:w="1129" w:type="dxa"/>
            <w:shd w:val="clear" w:color="auto" w:fill="auto"/>
          </w:tcPr>
          <w:p w14:paraId="09A39ED3" w14:textId="77777777" w:rsidR="00472F52" w:rsidRPr="0001219B" w:rsidRDefault="00472F52" w:rsidP="00A70819">
            <w:pPr>
              <w:pStyle w:val="Nadpis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text</w:t>
            </w:r>
          </w:p>
        </w:tc>
      </w:tr>
    </w:tbl>
    <w:p w14:paraId="5031FC1B" w14:textId="77777777" w:rsidR="00C36649" w:rsidRPr="0001219B" w:rsidRDefault="00C36649" w:rsidP="00352759">
      <w:pPr>
        <w:pStyle w:val="Default"/>
        <w:spacing w:line="276" w:lineRule="auto"/>
        <w:rPr>
          <w:color w:val="auto"/>
        </w:rPr>
      </w:pPr>
    </w:p>
    <w:p w14:paraId="534A0DB8" w14:textId="77777777" w:rsidR="00472F52" w:rsidRPr="0001219B" w:rsidRDefault="00472F52" w:rsidP="00352759">
      <w:pPr>
        <w:pStyle w:val="Default"/>
        <w:spacing w:line="276" w:lineRule="auto"/>
        <w:rPr>
          <w:color w:val="auto"/>
        </w:rPr>
      </w:pPr>
      <w:r w:rsidRPr="0001219B">
        <w:rPr>
          <w:color w:val="auto"/>
        </w:rPr>
        <w:t>Tab. 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472F52" w:rsidRPr="0001219B" w14:paraId="64FBF927" w14:textId="77777777" w:rsidTr="00A70819">
        <w:trPr>
          <w:trHeight w:val="20"/>
        </w:trPr>
        <w:tc>
          <w:tcPr>
            <w:tcW w:w="7933" w:type="dxa"/>
            <w:vAlign w:val="bottom"/>
          </w:tcPr>
          <w:p w14:paraId="5AFD2EAC" w14:textId="77777777" w:rsidR="00472F52" w:rsidRPr="0001219B" w:rsidRDefault="00472F52" w:rsidP="00A7081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Otázky k předmětům</w:t>
            </w:r>
          </w:p>
        </w:tc>
        <w:tc>
          <w:tcPr>
            <w:tcW w:w="1129" w:type="dxa"/>
          </w:tcPr>
          <w:p w14:paraId="3DF46CBA" w14:textId="77777777" w:rsidR="00472F52" w:rsidRPr="0001219B" w:rsidRDefault="00472F52" w:rsidP="00A70819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2F52" w:rsidRPr="0001219B" w14:paraId="7D45B8C9" w14:textId="77777777" w:rsidTr="00472F52">
        <w:trPr>
          <w:trHeight w:val="227"/>
        </w:trPr>
        <w:tc>
          <w:tcPr>
            <w:tcW w:w="7933" w:type="dxa"/>
            <w:vAlign w:val="center"/>
          </w:tcPr>
          <w:p w14:paraId="3192485A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Předmět byl pro mě přínosný.</w:t>
            </w:r>
          </w:p>
        </w:tc>
        <w:tc>
          <w:tcPr>
            <w:tcW w:w="1129" w:type="dxa"/>
            <w:vAlign w:val="center"/>
          </w:tcPr>
          <w:p w14:paraId="53EE6FD9" w14:textId="77777777" w:rsidR="00472F52" w:rsidRPr="0001219B" w:rsidRDefault="00472F52" w:rsidP="00472F52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škála</w:t>
            </w:r>
          </w:p>
        </w:tc>
      </w:tr>
      <w:tr w:rsidR="00472F52" w:rsidRPr="0001219B" w14:paraId="7570B72A" w14:textId="77777777" w:rsidTr="00472F52">
        <w:trPr>
          <w:trHeight w:val="20"/>
        </w:trPr>
        <w:tc>
          <w:tcPr>
            <w:tcW w:w="7933" w:type="dxa"/>
            <w:vAlign w:val="center"/>
          </w:tcPr>
          <w:p w14:paraId="76CEF8DE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Čím a proč byl předmět přínosný?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2E549B" w14:textId="77777777" w:rsidR="00472F52" w:rsidRPr="0001219B" w:rsidRDefault="00472F52" w:rsidP="00472F52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text</w:t>
            </w:r>
          </w:p>
        </w:tc>
      </w:tr>
      <w:tr w:rsidR="00472F52" w:rsidRPr="0001219B" w14:paraId="0B42E20E" w14:textId="77777777" w:rsidTr="00472F52">
        <w:trPr>
          <w:trHeight w:val="20"/>
        </w:trPr>
        <w:tc>
          <w:tcPr>
            <w:tcW w:w="7933" w:type="dxa"/>
            <w:vAlign w:val="center"/>
          </w:tcPr>
          <w:p w14:paraId="002FC604" w14:textId="77777777" w:rsidR="00472F52" w:rsidRPr="0001219B" w:rsidRDefault="00472F52" w:rsidP="00472F52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Vyučující otevíral/a prostor pro diskusi a rozvoj samostatného myšlení.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CC2F64" w14:textId="77777777" w:rsidR="00472F52" w:rsidRPr="0001219B" w:rsidRDefault="00472F52" w:rsidP="00472F52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škála</w:t>
            </w:r>
          </w:p>
        </w:tc>
      </w:tr>
      <w:tr w:rsidR="00472F52" w:rsidRPr="0001219B" w14:paraId="02940930" w14:textId="77777777" w:rsidTr="00472F52">
        <w:trPr>
          <w:trHeight w:val="20"/>
        </w:trPr>
        <w:tc>
          <w:tcPr>
            <w:tcW w:w="7933" w:type="dxa"/>
            <w:vAlign w:val="center"/>
          </w:tcPr>
          <w:p w14:paraId="1FE6E2F8" w14:textId="77777777" w:rsidR="00472F52" w:rsidRPr="0001219B" w:rsidRDefault="00472F52" w:rsidP="00472F52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Přístup a výklad vyučující/ho mě motivovaly k dalšímu poznání.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9DFA30" w14:textId="77777777" w:rsidR="00472F52" w:rsidRPr="0001219B" w:rsidRDefault="00472F52" w:rsidP="00472F52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škála</w:t>
            </w:r>
          </w:p>
        </w:tc>
      </w:tr>
      <w:tr w:rsidR="00472F52" w:rsidRPr="00472F52" w14:paraId="186B1DB2" w14:textId="77777777" w:rsidTr="00472F52">
        <w:trPr>
          <w:trHeight w:val="20"/>
        </w:trPr>
        <w:tc>
          <w:tcPr>
            <w:tcW w:w="7933" w:type="dxa"/>
            <w:vAlign w:val="center"/>
          </w:tcPr>
          <w:p w14:paraId="043132C2" w14:textId="77777777" w:rsidR="00472F52" w:rsidRPr="0001219B" w:rsidRDefault="00472F52" w:rsidP="00A70819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Co na předmětu nejvíce oceňujete? Máte naopak nějaká doporučení pro zlepšení?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74F86B" w14:textId="77777777" w:rsidR="00472F52" w:rsidRPr="0001219B" w:rsidRDefault="00472F52" w:rsidP="00472F52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21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text</w:t>
            </w:r>
          </w:p>
        </w:tc>
      </w:tr>
    </w:tbl>
    <w:p w14:paraId="605EF188" w14:textId="77777777" w:rsidR="002301D6" w:rsidRDefault="002301D6" w:rsidP="00352759">
      <w:pPr>
        <w:pStyle w:val="Default"/>
        <w:spacing w:line="276" w:lineRule="auto"/>
        <w:rPr>
          <w:color w:val="auto"/>
        </w:rPr>
      </w:pPr>
    </w:p>
    <w:p w14:paraId="3564CD44" w14:textId="30BC94D2" w:rsidR="002301D6" w:rsidRPr="0025729F" w:rsidRDefault="002301D6" w:rsidP="0001219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Návratnost dotazníků byla nižší, </w:t>
      </w:r>
      <w:r w:rsidR="003A68B7">
        <w:rPr>
          <w:color w:val="auto"/>
        </w:rPr>
        <w:t xml:space="preserve">pilotního hodnocení se zúčastnilo 20 studentů, </w:t>
      </w:r>
      <w:r>
        <w:rPr>
          <w:color w:val="auto"/>
        </w:rPr>
        <w:t xml:space="preserve">za oba semestry </w:t>
      </w:r>
      <w:r w:rsidR="00314334">
        <w:rPr>
          <w:color w:val="auto"/>
        </w:rPr>
        <w:t xml:space="preserve">bylo odevzdáno </w:t>
      </w:r>
      <w:r w:rsidR="003A68B7">
        <w:rPr>
          <w:color w:val="auto"/>
        </w:rPr>
        <w:t>39</w:t>
      </w:r>
      <w:r>
        <w:rPr>
          <w:color w:val="auto"/>
        </w:rPr>
        <w:t xml:space="preserve"> dotazníků</w:t>
      </w:r>
      <w:r w:rsidR="003A68B7">
        <w:rPr>
          <w:color w:val="auto"/>
        </w:rPr>
        <w:t xml:space="preserve"> s celkem 90 </w:t>
      </w:r>
      <w:r w:rsidR="003A68B7" w:rsidRPr="0001219B">
        <w:rPr>
          <w:color w:val="auto"/>
        </w:rPr>
        <w:t>slovními komentáři</w:t>
      </w:r>
      <w:r w:rsidR="0001219B">
        <w:rPr>
          <w:color w:val="auto"/>
        </w:rPr>
        <w:t>, z nichž většina obsahoval</w:t>
      </w:r>
      <w:r w:rsidR="00F12123">
        <w:rPr>
          <w:color w:val="auto"/>
        </w:rPr>
        <w:t>a</w:t>
      </w:r>
      <w:r w:rsidR="0001219B">
        <w:rPr>
          <w:color w:val="auto"/>
        </w:rPr>
        <w:t xml:space="preserve"> pozitivní hodnocení především spolupráce a podpory za strany školitele</w:t>
      </w:r>
      <w:r w:rsidR="003A68B7">
        <w:rPr>
          <w:color w:val="auto"/>
        </w:rPr>
        <w:t xml:space="preserve"> </w:t>
      </w:r>
      <w:r w:rsidR="0001219B">
        <w:rPr>
          <w:color w:val="auto"/>
        </w:rPr>
        <w:t xml:space="preserve">během studia. Na </w:t>
      </w:r>
      <w:r w:rsidR="0001219B">
        <w:rPr>
          <w:color w:val="auto"/>
        </w:rPr>
        <w:lastRenderedPageBreak/>
        <w:t>základě zkušenost</w:t>
      </w:r>
      <w:r w:rsidR="00F12123">
        <w:rPr>
          <w:color w:val="auto"/>
        </w:rPr>
        <w:t>í</w:t>
      </w:r>
      <w:r w:rsidR="0001219B">
        <w:rPr>
          <w:color w:val="auto"/>
        </w:rPr>
        <w:t xml:space="preserve"> s tímto pilotním hodnocením budou otázky </w:t>
      </w:r>
      <w:r w:rsidR="00F12123">
        <w:rPr>
          <w:color w:val="auto"/>
        </w:rPr>
        <w:t>ještě více</w:t>
      </w:r>
      <w:r w:rsidR="0001219B">
        <w:rPr>
          <w:color w:val="auto"/>
        </w:rPr>
        <w:t xml:space="preserve"> zpřesněn</w:t>
      </w:r>
      <w:r w:rsidR="00F12123">
        <w:rPr>
          <w:color w:val="auto"/>
        </w:rPr>
        <w:t>y</w:t>
      </w:r>
      <w:r w:rsidR="0001219B">
        <w:rPr>
          <w:color w:val="auto"/>
        </w:rPr>
        <w:t xml:space="preserve">, s cílem získat reálné výpovědi o kvalitě </w:t>
      </w:r>
      <w:r w:rsidR="00F12123">
        <w:rPr>
          <w:color w:val="auto"/>
        </w:rPr>
        <w:t xml:space="preserve">doktorského </w:t>
      </w:r>
      <w:r w:rsidR="0001219B">
        <w:rPr>
          <w:color w:val="auto"/>
        </w:rPr>
        <w:t>studia z pohledu doktorandů.</w:t>
      </w:r>
    </w:p>
    <w:p w14:paraId="772381E4" w14:textId="77777777" w:rsidR="00453B30" w:rsidRPr="0025729F" w:rsidRDefault="00C36649" w:rsidP="00472F52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20" w:name="_Toc501108825"/>
      <w:r w:rsidRPr="0025729F">
        <w:rPr>
          <w:rFonts w:ascii="Times New Roman" w:hAnsi="Times New Roman" w:cs="Times New Roman"/>
          <w:color w:val="auto"/>
        </w:rPr>
        <w:t>Část III.</w:t>
      </w:r>
      <w:bookmarkEnd w:id="20"/>
    </w:p>
    <w:p w14:paraId="283B0004" w14:textId="77777777" w:rsidR="00C36649" w:rsidRPr="0025729F" w:rsidRDefault="00C36649" w:rsidP="00FD132D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21" w:name="_Toc501108826"/>
      <w:r w:rsidRPr="0025729F">
        <w:rPr>
          <w:rFonts w:ascii="Times New Roman" w:hAnsi="Times New Roman" w:cs="Times New Roman"/>
          <w:color w:val="auto"/>
        </w:rPr>
        <w:t>Další hodnocení vzdělávací činnosti</w:t>
      </w:r>
      <w:bookmarkEnd w:id="21"/>
    </w:p>
    <w:p w14:paraId="7A7C5A6A" w14:textId="77777777" w:rsidR="00E32DDA" w:rsidRPr="0025729F" w:rsidRDefault="00E32DDA" w:rsidP="0025729F">
      <w:pPr>
        <w:pStyle w:val="Nadpis2"/>
        <w:numPr>
          <w:ilvl w:val="0"/>
          <w:numId w:val="20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22" w:name="_Toc501108827"/>
      <w:r w:rsidRPr="0025729F">
        <w:rPr>
          <w:rFonts w:ascii="Times New Roman" w:hAnsi="Times New Roman" w:cs="Times New Roman"/>
          <w:color w:val="auto"/>
        </w:rPr>
        <w:t>Hodnocení zabezpečení studia a dalších souvisejících podpůrných činností</w:t>
      </w:r>
      <w:bookmarkEnd w:id="22"/>
      <w:r w:rsidRPr="0025729F">
        <w:rPr>
          <w:rFonts w:ascii="Times New Roman" w:hAnsi="Times New Roman" w:cs="Times New Roman"/>
          <w:color w:val="auto"/>
        </w:rPr>
        <w:t xml:space="preserve"> </w:t>
      </w:r>
    </w:p>
    <w:p w14:paraId="0FA580DB" w14:textId="77777777" w:rsidR="00F12123" w:rsidRPr="00B543CC" w:rsidRDefault="00F12123" w:rsidP="00F12123">
      <w:pPr>
        <w:jc w:val="both"/>
      </w:pPr>
      <w:r w:rsidRPr="00B543CC">
        <w:t>V LS byly zařazeny do dotazníku i obecné otázky</w:t>
      </w:r>
      <w:r>
        <w:t>, které hodnotily kvalitu služeb nabízených Studijním oddělením.</w:t>
      </w:r>
    </w:p>
    <w:p w14:paraId="5B4D1E35" w14:textId="77777777" w:rsidR="00F12123" w:rsidRPr="00F12123" w:rsidRDefault="00F12123" w:rsidP="00F12123">
      <w:pPr>
        <w:rPr>
          <w:b/>
        </w:rPr>
      </w:pPr>
    </w:p>
    <w:p w14:paraId="388CD07D" w14:textId="77777777" w:rsidR="00F12123" w:rsidRPr="00F12123" w:rsidRDefault="00F12123" w:rsidP="00F12123">
      <w:pPr>
        <w:rPr>
          <w:b/>
        </w:rPr>
      </w:pPr>
      <w:r w:rsidRPr="00F12123">
        <w:rPr>
          <w:b/>
        </w:rPr>
        <w:t>Obecné otázky ke Studijnímu oddělení</w:t>
      </w:r>
    </w:p>
    <w:p w14:paraId="0D272135" w14:textId="77777777" w:rsidR="00F12123" w:rsidRDefault="00F12123" w:rsidP="00F12123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</w:tblGrid>
      <w:tr w:rsidR="00F12123" w14:paraId="0D5681D0" w14:textId="77777777" w:rsidTr="0034397D">
        <w:tc>
          <w:tcPr>
            <w:tcW w:w="7933" w:type="dxa"/>
          </w:tcPr>
          <w:p w14:paraId="3131A0E8" w14:textId="77777777" w:rsidR="00F12123" w:rsidRPr="001465B6" w:rsidRDefault="00F12123" w:rsidP="0034397D">
            <w:r w:rsidRPr="001465B6">
              <w:t>1 Služby Studijního oddělení jsem v akademickém roce 2017/2018 využil/a:</w:t>
            </w:r>
          </w:p>
          <w:p w14:paraId="57F6B607" w14:textId="77777777" w:rsidR="00F12123" w:rsidRPr="001465B6" w:rsidRDefault="00F12123" w:rsidP="0034397D">
            <w:r w:rsidRPr="001465B6">
              <w:t>Celkem odpovědí: 617</w:t>
            </w:r>
          </w:p>
          <w:p w14:paraId="2EB20AE7" w14:textId="77777777" w:rsidR="00F12123" w:rsidRPr="001465B6" w:rsidRDefault="00F12123" w:rsidP="0034397D">
            <w:r w:rsidRPr="001465B6">
              <w:t>1. jednou: 236</w:t>
            </w:r>
          </w:p>
          <w:p w14:paraId="7F590A05" w14:textId="77777777" w:rsidR="00F12123" w:rsidRPr="001465B6" w:rsidRDefault="00F12123" w:rsidP="0034397D">
            <w:r w:rsidRPr="001465B6">
              <w:t>2. více než jednou, ale využívám spíše sporadicky: 277</w:t>
            </w:r>
          </w:p>
          <w:p w14:paraId="15E2544F" w14:textId="77777777" w:rsidR="00F12123" w:rsidRPr="001465B6" w:rsidRDefault="00F12123" w:rsidP="0034397D">
            <w:r w:rsidRPr="001465B6">
              <w:t>3. využívám během roku velmi často: 28</w:t>
            </w:r>
          </w:p>
          <w:p w14:paraId="26C92328" w14:textId="77777777" w:rsidR="00F12123" w:rsidRDefault="00F12123" w:rsidP="0034397D">
            <w:r w:rsidRPr="001465B6">
              <w:t>4. služby jsem zatím nevyužil/a: 76</w:t>
            </w:r>
          </w:p>
        </w:tc>
      </w:tr>
      <w:tr w:rsidR="00F12123" w14:paraId="0025766B" w14:textId="77777777" w:rsidTr="0034397D">
        <w:tc>
          <w:tcPr>
            <w:tcW w:w="7933" w:type="dxa"/>
          </w:tcPr>
          <w:p w14:paraId="4ABEB897" w14:textId="77777777" w:rsidR="00F12123" w:rsidRPr="001465B6" w:rsidRDefault="00F12123" w:rsidP="0034397D">
            <w:r w:rsidRPr="001465B6">
              <w:t>2. Podpora při řešení studijního problému byla dostatečná.</w:t>
            </w:r>
          </w:p>
          <w:p w14:paraId="11BC6342" w14:textId="77777777" w:rsidR="00F12123" w:rsidRPr="001465B6" w:rsidRDefault="00F12123" w:rsidP="0034397D">
            <w:r w:rsidRPr="001465B6">
              <w:t>Celkem odpovědí: 564</w:t>
            </w:r>
          </w:p>
          <w:p w14:paraId="03388BC2" w14:textId="77777777" w:rsidR="00F12123" w:rsidRPr="001465B6" w:rsidRDefault="00F12123" w:rsidP="0034397D">
            <w:r w:rsidRPr="001465B6">
              <w:t>1. souhlasím: 322</w:t>
            </w:r>
          </w:p>
          <w:p w14:paraId="2B564E78" w14:textId="77777777" w:rsidR="00F12123" w:rsidRPr="001465B6" w:rsidRDefault="00F12123" w:rsidP="0034397D">
            <w:r w:rsidRPr="001465B6">
              <w:t>2. spíše souhlasím: 190</w:t>
            </w:r>
          </w:p>
          <w:p w14:paraId="290D25E4" w14:textId="77777777" w:rsidR="00F12123" w:rsidRPr="001465B6" w:rsidRDefault="00F12123" w:rsidP="0034397D">
            <w:r w:rsidRPr="001465B6">
              <w:t>3. spíše nesouhlasím: 43</w:t>
            </w:r>
          </w:p>
          <w:p w14:paraId="78737391" w14:textId="77777777" w:rsidR="00F12123" w:rsidRDefault="00F12123" w:rsidP="0034397D">
            <w:r w:rsidRPr="001465B6">
              <w:t>4. nesouhlasím: 9</w:t>
            </w:r>
          </w:p>
        </w:tc>
      </w:tr>
      <w:tr w:rsidR="00F12123" w14:paraId="7C04F1EE" w14:textId="77777777" w:rsidTr="0034397D">
        <w:tc>
          <w:tcPr>
            <w:tcW w:w="7933" w:type="dxa"/>
          </w:tcPr>
          <w:p w14:paraId="383C9A59" w14:textId="77777777" w:rsidR="00F12123" w:rsidRPr="001465B6" w:rsidRDefault="00F12123" w:rsidP="0034397D">
            <w:r w:rsidRPr="001465B6">
              <w:t>3. Pracovníci Studijního oddělení mají příjemné vystupování.</w:t>
            </w:r>
          </w:p>
          <w:p w14:paraId="07FA1A02" w14:textId="77777777" w:rsidR="00F12123" w:rsidRPr="001465B6" w:rsidRDefault="00F12123" w:rsidP="0034397D">
            <w:r w:rsidRPr="001465B6">
              <w:t>Celkem odpovědí: 582</w:t>
            </w:r>
          </w:p>
          <w:p w14:paraId="20C48024" w14:textId="77777777" w:rsidR="00F12123" w:rsidRPr="001465B6" w:rsidRDefault="00F12123" w:rsidP="0034397D">
            <w:r w:rsidRPr="001465B6">
              <w:t>1. souhlasím: 333</w:t>
            </w:r>
          </w:p>
          <w:p w14:paraId="2D74AE82" w14:textId="77777777" w:rsidR="00F12123" w:rsidRPr="001465B6" w:rsidRDefault="00F12123" w:rsidP="0034397D">
            <w:r w:rsidRPr="001465B6">
              <w:t>2. spíše souhlasím: 189</w:t>
            </w:r>
          </w:p>
          <w:p w14:paraId="70578B5D" w14:textId="77777777" w:rsidR="00F12123" w:rsidRPr="001465B6" w:rsidRDefault="00F12123" w:rsidP="0034397D">
            <w:r w:rsidRPr="001465B6">
              <w:t>3. spíše nesouhlasím: 47</w:t>
            </w:r>
          </w:p>
          <w:p w14:paraId="698A5C54" w14:textId="77777777" w:rsidR="00F12123" w:rsidRDefault="00F12123" w:rsidP="0034397D">
            <w:r w:rsidRPr="001465B6">
              <w:t>4. nesouhlasím: 13</w:t>
            </w:r>
          </w:p>
        </w:tc>
      </w:tr>
      <w:tr w:rsidR="00F12123" w14:paraId="49456589" w14:textId="77777777" w:rsidTr="0034397D">
        <w:tc>
          <w:tcPr>
            <w:tcW w:w="7933" w:type="dxa"/>
          </w:tcPr>
          <w:p w14:paraId="64C23B7C" w14:textId="77777777" w:rsidR="00F12123" w:rsidRPr="001465B6" w:rsidRDefault="00F12123" w:rsidP="0034397D">
            <w:r w:rsidRPr="001465B6">
              <w:t>4. Úřední hodiny Studijního oddělení mi vyhovují.</w:t>
            </w:r>
          </w:p>
          <w:p w14:paraId="0A70DFFD" w14:textId="77777777" w:rsidR="00F12123" w:rsidRPr="001465B6" w:rsidRDefault="00F12123" w:rsidP="0034397D">
            <w:r w:rsidRPr="001465B6">
              <w:t>Celkem odpovědí: 581</w:t>
            </w:r>
          </w:p>
          <w:p w14:paraId="274D9B84" w14:textId="77777777" w:rsidR="00F12123" w:rsidRPr="001465B6" w:rsidRDefault="00F12123" w:rsidP="0034397D">
            <w:r w:rsidRPr="001465B6">
              <w:t>1. souhlasím: 144</w:t>
            </w:r>
          </w:p>
          <w:p w14:paraId="6753F00A" w14:textId="77777777" w:rsidR="00F12123" w:rsidRPr="001465B6" w:rsidRDefault="00F12123" w:rsidP="0034397D">
            <w:r w:rsidRPr="001465B6">
              <w:t>2. spíše souhlasím: 234</w:t>
            </w:r>
          </w:p>
          <w:p w14:paraId="1A2CAEB7" w14:textId="77777777" w:rsidR="00F12123" w:rsidRPr="001465B6" w:rsidRDefault="00F12123" w:rsidP="0034397D">
            <w:r w:rsidRPr="001465B6">
              <w:t>3. spíše nesouhlasím: 148</w:t>
            </w:r>
          </w:p>
          <w:p w14:paraId="3F37585B" w14:textId="77777777" w:rsidR="00F12123" w:rsidRDefault="00F12123" w:rsidP="0034397D">
            <w:r w:rsidRPr="001465B6">
              <w:t>4. nesouhlasím: 55</w:t>
            </w:r>
          </w:p>
        </w:tc>
      </w:tr>
      <w:tr w:rsidR="00F12123" w14:paraId="14F2821E" w14:textId="77777777" w:rsidTr="0034397D">
        <w:tc>
          <w:tcPr>
            <w:tcW w:w="7933" w:type="dxa"/>
          </w:tcPr>
          <w:p w14:paraId="065527BE" w14:textId="77777777" w:rsidR="00F12123" w:rsidRPr="001465B6" w:rsidRDefault="00F12123" w:rsidP="0034397D">
            <w:r w:rsidRPr="001465B6">
              <w:t>5. V současné době studuji:</w:t>
            </w:r>
          </w:p>
          <w:p w14:paraId="0BE257E1" w14:textId="77777777" w:rsidR="00F12123" w:rsidRPr="001465B6" w:rsidRDefault="00F12123" w:rsidP="0034397D">
            <w:r w:rsidRPr="001465B6">
              <w:t>Celkem odpovědí: 611</w:t>
            </w:r>
          </w:p>
          <w:p w14:paraId="0551FA87" w14:textId="77777777" w:rsidR="00F12123" w:rsidRPr="001465B6" w:rsidRDefault="00F12123" w:rsidP="0034397D">
            <w:r w:rsidRPr="001465B6">
              <w:t>1. v prezenční formě studia: 443</w:t>
            </w:r>
          </w:p>
          <w:p w14:paraId="3504D1D4" w14:textId="77777777" w:rsidR="00F12123" w:rsidRDefault="00F12123" w:rsidP="0034397D">
            <w:r w:rsidRPr="001465B6">
              <w:t>2. v kombinované formě studia: 168</w:t>
            </w:r>
          </w:p>
        </w:tc>
      </w:tr>
      <w:tr w:rsidR="00F12123" w14:paraId="79284509" w14:textId="77777777" w:rsidTr="00F12123">
        <w:trPr>
          <w:trHeight w:val="567"/>
        </w:trPr>
        <w:tc>
          <w:tcPr>
            <w:tcW w:w="7933" w:type="dxa"/>
          </w:tcPr>
          <w:p w14:paraId="3676730B" w14:textId="77777777" w:rsidR="00F12123" w:rsidRDefault="00F12123" w:rsidP="0034397D">
            <w:r w:rsidRPr="001465B6">
              <w:t>6. Další připomínky a náměty, konkrétní zkušenosti se službami Studijního oddělení.</w:t>
            </w:r>
          </w:p>
        </w:tc>
      </w:tr>
      <w:tr w:rsidR="00F12123" w14:paraId="468E08A8" w14:textId="77777777" w:rsidTr="0034397D">
        <w:trPr>
          <w:trHeight w:val="2440"/>
        </w:trPr>
        <w:tc>
          <w:tcPr>
            <w:tcW w:w="7933" w:type="dxa"/>
          </w:tcPr>
          <w:p w14:paraId="18ED5485" w14:textId="77777777" w:rsidR="00F12123" w:rsidRPr="001465B6" w:rsidRDefault="00F12123" w:rsidP="00F12123">
            <w:pPr>
              <w:jc w:val="both"/>
            </w:pPr>
            <w:r w:rsidRPr="001465B6">
              <w:lastRenderedPageBreak/>
              <w:t xml:space="preserve">7. Jaké další oblasti byste považovali za vhodné hodnotit v následujících letech, např. podatelna </w:t>
            </w:r>
            <w:proofErr w:type="spellStart"/>
            <w:r w:rsidRPr="001465B6">
              <w:t>PedF</w:t>
            </w:r>
            <w:proofErr w:type="spellEnd"/>
            <w:r w:rsidRPr="001465B6">
              <w:t xml:space="preserve">, nabídka služeb Knihovny </w:t>
            </w:r>
            <w:proofErr w:type="spellStart"/>
            <w:r w:rsidRPr="001465B6">
              <w:t>PedF</w:t>
            </w:r>
            <w:proofErr w:type="spellEnd"/>
            <w:r w:rsidRPr="001465B6">
              <w:t xml:space="preserve"> UK, práce studentských tutorů, vybavení fakulty (počítačová učebna, vybavení učeben, vybavení sportovišť, mikrovlnky, sušičky rukou na toaletách, zásuvky v učebnách a na chodbách, kvalita </w:t>
            </w:r>
            <w:proofErr w:type="spellStart"/>
            <w:r w:rsidRPr="001465B6">
              <w:t>wifi</w:t>
            </w:r>
            <w:proofErr w:type="spellEnd"/>
            <w:r w:rsidRPr="001465B6">
              <w:t>, zázemí pro studenty apod.), webové stránky fakulty (česká verze / anglická verze), práce Střediska informačních technologií, práce Oddělení pro vnější vztahy a organizační záležitosti, práce Oddělení pro zahraniční vztahy, bufet, vrátnice, úklid budovy, aplikace pro HVS, jiné (vypište).</w:t>
            </w:r>
          </w:p>
          <w:p w14:paraId="63D03BAB" w14:textId="77777777" w:rsidR="00F12123" w:rsidRPr="001465B6" w:rsidRDefault="00F12123" w:rsidP="00F12123">
            <w:r w:rsidRPr="001465B6">
              <w:t>Obecná otázka č. 7: 126 odpovědí </w:t>
            </w:r>
          </w:p>
        </w:tc>
      </w:tr>
    </w:tbl>
    <w:p w14:paraId="51EEE055" w14:textId="77777777" w:rsidR="00F12123" w:rsidRDefault="00F12123" w:rsidP="00F12123"/>
    <w:p w14:paraId="54210BC6" w14:textId="16861E80" w:rsidR="00F12123" w:rsidRDefault="00F12123" w:rsidP="00F12123">
      <w:pPr>
        <w:spacing w:line="276" w:lineRule="auto"/>
        <w:jc w:val="both"/>
      </w:pPr>
      <w:r>
        <w:t>V otázce č. 6 se studenti vyjadřovali především k úředním hodinám Studijního oddělení, jejich názory se však v závislosti na rozvržení výuky a na formě studia</w:t>
      </w:r>
      <w:r w:rsidR="00692AC7" w:rsidRPr="00692AC7">
        <w:t xml:space="preserve"> </w:t>
      </w:r>
      <w:r w:rsidR="00692AC7">
        <w:t>značně různily</w:t>
      </w:r>
      <w:r>
        <w:t>.</w:t>
      </w:r>
    </w:p>
    <w:p w14:paraId="12CD7E2E" w14:textId="77777777" w:rsidR="00F12123" w:rsidRPr="001465B6" w:rsidRDefault="00F12123" w:rsidP="00F12123">
      <w:pPr>
        <w:spacing w:line="276" w:lineRule="auto"/>
        <w:jc w:val="both"/>
      </w:pPr>
      <w:r>
        <w:t xml:space="preserve">Otázka č. 7 inspirovala studenty k vyjádření k úrovni zmíněných pracovišť a oblastí. Častěji se objevovaly názory na nutnost rekonstrukce studovny, chybějící pracovna pro studentské skupiny, nedostatečné pokrytí budov </w:t>
      </w:r>
      <w:proofErr w:type="spellStart"/>
      <w:r>
        <w:t>wifi</w:t>
      </w:r>
      <w:proofErr w:type="spellEnd"/>
      <w:r>
        <w:t xml:space="preserve"> připojením, malá možnost posezení na chodbách mezi výukou. Pozitivně byly hodnoceny např. služby vrátnice, čistota v hlavní budově, možnost využití </w:t>
      </w:r>
      <w:proofErr w:type="spellStart"/>
      <w:r>
        <w:t>Biblioboxu</w:t>
      </w:r>
      <w:proofErr w:type="spellEnd"/>
      <w:r>
        <w:t xml:space="preserve"> aj.</w:t>
      </w:r>
    </w:p>
    <w:p w14:paraId="706E569E" w14:textId="77777777" w:rsidR="00F12123" w:rsidRDefault="00F12123" w:rsidP="00352759">
      <w:pPr>
        <w:spacing w:line="276" w:lineRule="auto"/>
        <w:jc w:val="both"/>
        <w:outlineLvl w:val="3"/>
      </w:pPr>
    </w:p>
    <w:p w14:paraId="53FDD62C" w14:textId="77777777" w:rsidR="00311E2A" w:rsidRDefault="00311E2A" w:rsidP="0025729F">
      <w:pPr>
        <w:pStyle w:val="Nadpis2"/>
        <w:numPr>
          <w:ilvl w:val="0"/>
          <w:numId w:val="20"/>
        </w:numPr>
        <w:spacing w:after="120"/>
        <w:ind w:left="714" w:hanging="357"/>
        <w:rPr>
          <w:rFonts w:ascii="Times New Roman" w:hAnsi="Times New Roman" w:cs="Times New Roman"/>
          <w:color w:val="auto"/>
        </w:rPr>
      </w:pPr>
      <w:bookmarkStart w:id="23" w:name="_Toc501108828"/>
      <w:r w:rsidRPr="0025729F">
        <w:rPr>
          <w:rFonts w:ascii="Times New Roman" w:hAnsi="Times New Roman" w:cs="Times New Roman"/>
          <w:color w:val="auto"/>
        </w:rPr>
        <w:t>Hodnocení vzdělávací činnosti zahraničními studenty</w:t>
      </w:r>
      <w:bookmarkEnd w:id="23"/>
    </w:p>
    <w:p w14:paraId="17947CE2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 xml:space="preserve">V uplynulém roce proběhlo hodnocení výuky a podpůrných procesů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75EF">
        <w:rPr>
          <w:rFonts w:ascii="Times New Roman" w:hAnsi="Times New Roman" w:cs="Times New Roman"/>
          <w:sz w:val="24"/>
          <w:szCs w:val="24"/>
        </w:rPr>
        <w:t xml:space="preserve"> zahraničními studenty, kteří na naší fakultě studují nejčastěji v rámci programu Erasmus+. Toto hodnocení je prováděno zatím Oddělením pro zahraniční vztahy (dále jen zahraniční oddělení). </w:t>
      </w:r>
    </w:p>
    <w:p w14:paraId="3687AD8A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 xml:space="preserve">Od 2014/2015 se toto hodnocení uskutečňuje s použitím dvou dotazníků: jeden dotazník je anonymní a vyplňují jej všichni studenti, kteří absolvovali kurz Czech Society </w:t>
      </w:r>
      <w:proofErr w:type="spellStart"/>
      <w:r w:rsidRPr="003D75E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D7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Této ankety se zúčastnilo v obou semestrech 2017/2018 celkem 13 zahraničních studentů, kteří </w:t>
      </w:r>
      <w:r w:rsidRPr="003D75EF">
        <w:rPr>
          <w:rFonts w:ascii="Times New Roman" w:hAnsi="Times New Roman" w:cs="Times New Roman"/>
          <w:sz w:val="24"/>
          <w:szCs w:val="24"/>
        </w:rPr>
        <w:t>pomocí škály A, B, C, D hodnot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3D75EF">
        <w:rPr>
          <w:rFonts w:ascii="Times New Roman" w:hAnsi="Times New Roman" w:cs="Times New Roman"/>
          <w:sz w:val="24"/>
          <w:szCs w:val="24"/>
        </w:rPr>
        <w:t xml:space="preserve"> jednotlivé semináře. V dotazníku moh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3D75EF">
        <w:rPr>
          <w:rFonts w:ascii="Times New Roman" w:hAnsi="Times New Roman" w:cs="Times New Roman"/>
          <w:sz w:val="24"/>
          <w:szCs w:val="24"/>
        </w:rPr>
        <w:t xml:space="preserve"> uvést další komentáře k výuce tohoto předmětu</w:t>
      </w:r>
      <w:r>
        <w:rPr>
          <w:rFonts w:ascii="Times New Roman" w:hAnsi="Times New Roman" w:cs="Times New Roman"/>
          <w:sz w:val="24"/>
          <w:szCs w:val="24"/>
        </w:rPr>
        <w:t>. Kladně byla studenty hodnocena zejména</w:t>
      </w:r>
      <w:r w:rsidRPr="003D75EF">
        <w:rPr>
          <w:rFonts w:ascii="Times New Roman" w:hAnsi="Times New Roman" w:cs="Times New Roman"/>
          <w:sz w:val="24"/>
          <w:szCs w:val="24"/>
        </w:rPr>
        <w:t xml:space="preserve"> interaktivní form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75EF">
        <w:rPr>
          <w:rFonts w:ascii="Times New Roman" w:hAnsi="Times New Roman" w:cs="Times New Roman"/>
          <w:sz w:val="24"/>
          <w:szCs w:val="24"/>
        </w:rPr>
        <w:t xml:space="preserve"> výuky</w:t>
      </w:r>
      <w:r>
        <w:rPr>
          <w:rFonts w:ascii="Times New Roman" w:hAnsi="Times New Roman" w:cs="Times New Roman"/>
          <w:sz w:val="24"/>
          <w:szCs w:val="24"/>
        </w:rPr>
        <w:t xml:space="preserve"> a také </w:t>
      </w:r>
      <w:r w:rsidRPr="003D75EF">
        <w:rPr>
          <w:rFonts w:ascii="Times New Roman" w:hAnsi="Times New Roman" w:cs="Times New Roman"/>
          <w:sz w:val="24"/>
          <w:szCs w:val="24"/>
        </w:rPr>
        <w:t xml:space="preserve">výukové materiály v angličtině, které jim usnadní orientaci v problematice. S výsledky jsou seznamováni jednotliví vyučující kurzu Czech Society </w:t>
      </w:r>
      <w:proofErr w:type="spellStart"/>
      <w:r w:rsidRPr="003D75E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D75EF">
        <w:rPr>
          <w:rFonts w:ascii="Times New Roman" w:hAnsi="Times New Roman" w:cs="Times New Roman"/>
          <w:sz w:val="24"/>
          <w:szCs w:val="24"/>
        </w:rPr>
        <w:t>.</w:t>
      </w:r>
    </w:p>
    <w:p w14:paraId="0E194CE5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 xml:space="preserve">Druhý dotazník je neanonymní, má rozsah 6 stran, je poměrně obsáhlý a vyplňují jej všichni zahraniční studenti na závěr svého pobytu na fakultě při vyřizování </w:t>
      </w:r>
      <w:proofErr w:type="spellStart"/>
      <w:r w:rsidRPr="003D75EF">
        <w:rPr>
          <w:rFonts w:ascii="Times New Roman" w:hAnsi="Times New Roman" w:cs="Times New Roman"/>
          <w:sz w:val="24"/>
          <w:szCs w:val="24"/>
        </w:rPr>
        <w:t>transkriptu</w:t>
      </w:r>
      <w:proofErr w:type="spellEnd"/>
      <w:r w:rsidRPr="003D75EF">
        <w:rPr>
          <w:rFonts w:ascii="Times New Roman" w:hAnsi="Times New Roman" w:cs="Times New Roman"/>
          <w:sz w:val="24"/>
          <w:szCs w:val="24"/>
        </w:rPr>
        <w:t xml:space="preserve"> pro svou domovskou univerzitu. Pomocí dotazníku se sbírají konkrétní údaje o pozitivních a negativních zkušenostech s pobytem na fakultě (hodnocení pobytu, podpora vyučujících, zkušenosti s Erasmus mobilitou na fakultě i otázky obecnějšího charakteru). </w:t>
      </w:r>
    </w:p>
    <w:p w14:paraId="7BA7A4C9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>Z posledního dotazníkového šetření</w:t>
      </w:r>
      <w:r>
        <w:rPr>
          <w:rFonts w:ascii="Times New Roman" w:hAnsi="Times New Roman" w:cs="Times New Roman"/>
          <w:sz w:val="24"/>
          <w:szCs w:val="24"/>
        </w:rPr>
        <w:t>, kterého se v akademickém roce 2017/2018 zúčastnilo celkem 118 zahraničních studentů,</w:t>
      </w:r>
      <w:r w:rsidRPr="003D75EF">
        <w:rPr>
          <w:rFonts w:ascii="Times New Roman" w:hAnsi="Times New Roman" w:cs="Times New Roman"/>
          <w:sz w:val="24"/>
          <w:szCs w:val="24"/>
        </w:rPr>
        <w:t xml:space="preserve"> vyplývá, že studenti nejvíce oceňují vstřícnost a ochotu kateder vždy pomoci se zápisem do kurzů, stejně tak i umožnit studentům, aby jimi vybraný kurz/předmět mohli navštěvovat. Z hlediska organizace výuky je častou připomínkou fakt, že jsou kurzy často vypisované pouze pro přijíždějící studenty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5EF">
        <w:rPr>
          <w:rFonts w:ascii="Times New Roman" w:hAnsi="Times New Roman" w:cs="Times New Roman"/>
          <w:sz w:val="24"/>
          <w:szCs w:val="24"/>
        </w:rPr>
        <w:t xml:space="preserve"> a tudíž nemají možnost potkávat se během studia se svými českými kolegy.</w:t>
      </w:r>
    </w:p>
    <w:p w14:paraId="6969AAAE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 xml:space="preserve">Pozitivní zpětná vazba se týká též kvality výuky v cizím jazyce. Přijíždějící studenti by ocenili možnost studovat v angličtině celý Bc. a </w:t>
      </w:r>
      <w:proofErr w:type="spellStart"/>
      <w:r w:rsidRPr="003D75EF">
        <w:rPr>
          <w:rFonts w:ascii="Times New Roman" w:hAnsi="Times New Roman" w:cs="Times New Roman"/>
          <w:sz w:val="24"/>
          <w:szCs w:val="24"/>
        </w:rPr>
        <w:t>NMgr</w:t>
      </w:r>
      <w:proofErr w:type="spellEnd"/>
      <w:r w:rsidRPr="003D75EF">
        <w:rPr>
          <w:rFonts w:ascii="Times New Roman" w:hAnsi="Times New Roman" w:cs="Times New Roman"/>
          <w:sz w:val="24"/>
          <w:szCs w:val="24"/>
        </w:rPr>
        <w:t>. program jako např. ve Skandinávii.</w:t>
      </w:r>
    </w:p>
    <w:p w14:paraId="15C5B233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lastRenderedPageBreak/>
        <w:t xml:space="preserve">Velmi zajímavým podnětem ze strany přijíždějících studentů jsou časté dotazy, zda by nebylo možné otevřít zápis do předmětů/kurzů online v elektronickém systému (obdoba zápisu studentů studujících v češtině). Poukazují tak na počáteční komplikace při tvorbě vlastního rozvrhu a zápisu kurzů (zapisují koordinátoři nebo vyučující daného předmětu). </w:t>
      </w:r>
    </w:p>
    <w:p w14:paraId="5C5211F6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>S výsledky dotazníků jsou seznamováni vedoucí pracovišť na poradě vedoucích, e-mailem referenti pro zahraniční spolupráci a Erasmus+ koordinátoři pracovišť.</w:t>
      </w:r>
    </w:p>
    <w:p w14:paraId="5387F67D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 xml:space="preserve">V případě zahraničních stipendistů a stážistů se informace o výuce a o podmínkách ke studiu na fakultě získávají od stipendistů nejen pomocí výše zmíněného dotazníku, ale i na setkáních pořádaných zahraničním oddělením za účasti vedoucí oddělení a proděkanky pro zahraniční vztahy. </w:t>
      </w:r>
    </w:p>
    <w:p w14:paraId="2207F75F" w14:textId="77777777" w:rsidR="00692AC7" w:rsidRPr="003D75EF" w:rsidRDefault="00692AC7" w:rsidP="00692AC7">
      <w:pPr>
        <w:pStyle w:val="Bezmezer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 xml:space="preserve">Zahraniční studenti přijíždějící na základě univerzitních dohod vypracovávají (obvykle) v angličtině hodnotící zprávu o svém pobytu na fakultě, kterou zahraniční oddělení zveřejňuje ve veřejné části webových stránek fakulty. Některé katedry samy sbírají zpětné vazby od zahraničních studentů. </w:t>
      </w:r>
    </w:p>
    <w:p w14:paraId="26A9C8D0" w14:textId="0C22E27C" w:rsidR="00692AC7" w:rsidRDefault="00692AC7" w:rsidP="00692AC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F">
        <w:rPr>
          <w:rFonts w:ascii="Times New Roman" w:hAnsi="Times New Roman" w:cs="Times New Roman"/>
          <w:sz w:val="24"/>
          <w:szCs w:val="24"/>
        </w:rPr>
        <w:t>Zahraniční studenti, kteří studují v kurzech běžného negraduálního studia (v češtině), se mohou zapojit do pravidelného hodnocení výuky určeného studentům bakalářských a magisterských studijních programů.</w:t>
      </w:r>
    </w:p>
    <w:p w14:paraId="3157617A" w14:textId="77777777" w:rsidR="00692AC7" w:rsidRDefault="00692AC7" w:rsidP="00692AC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CDEE" w14:textId="77777777" w:rsidR="00311E2A" w:rsidRPr="0025729F" w:rsidRDefault="00311E2A" w:rsidP="00692AC7">
      <w:pPr>
        <w:pStyle w:val="Nadpis2"/>
        <w:numPr>
          <w:ilvl w:val="0"/>
          <w:numId w:val="20"/>
        </w:numPr>
        <w:spacing w:before="0" w:after="120"/>
        <w:ind w:left="714" w:hanging="357"/>
        <w:rPr>
          <w:rFonts w:ascii="Times New Roman" w:hAnsi="Times New Roman" w:cs="Times New Roman"/>
          <w:color w:val="auto"/>
        </w:rPr>
      </w:pPr>
      <w:bookmarkStart w:id="24" w:name="_Toc501108829"/>
      <w:r w:rsidRPr="0025729F">
        <w:rPr>
          <w:rFonts w:ascii="Times New Roman" w:hAnsi="Times New Roman" w:cs="Times New Roman"/>
          <w:color w:val="auto"/>
        </w:rPr>
        <w:t>Hodnocení vzdělávací činnosti studenty se speciálními potřebami</w:t>
      </w:r>
      <w:bookmarkEnd w:id="24"/>
    </w:p>
    <w:p w14:paraId="0125F583" w14:textId="42D92312" w:rsidR="00033D3C" w:rsidRPr="00033D3C" w:rsidRDefault="00033D3C" w:rsidP="00F12123">
      <w:pPr>
        <w:spacing w:line="276" w:lineRule="auto"/>
        <w:jc w:val="both"/>
        <w:rPr>
          <w:b/>
          <w:sz w:val="22"/>
          <w:szCs w:val="22"/>
        </w:rPr>
      </w:pPr>
      <w:r>
        <w:rPr>
          <w:shd w:val="clear" w:color="auto" w:fill="FFFFFF"/>
        </w:rPr>
        <w:t>V roce 2018 bylo</w:t>
      </w:r>
      <w:r w:rsidR="00692AC7" w:rsidRPr="00692AC7">
        <w:rPr>
          <w:shd w:val="clear" w:color="auto" w:fill="FFFFFF"/>
        </w:rPr>
        <w:t xml:space="preserve"> </w:t>
      </w:r>
      <w:r w:rsidR="00692AC7">
        <w:rPr>
          <w:shd w:val="clear" w:color="auto" w:fill="FFFFFF"/>
        </w:rPr>
        <w:t>prostřednictvím evaluačního dotazníku</w:t>
      </w:r>
      <w:r>
        <w:rPr>
          <w:shd w:val="clear" w:color="auto" w:fill="FFFFFF"/>
        </w:rPr>
        <w:t xml:space="preserve"> již po páté realizováno i hodnocení služeb</w:t>
      </w:r>
      <w:bookmarkStart w:id="25" w:name="_Hlk3985970"/>
      <w:r>
        <w:rPr>
          <w:shd w:val="clear" w:color="auto" w:fill="FFFFFF"/>
        </w:rPr>
        <w:t xml:space="preserve"> pro studenty se speciálními potřebami</w:t>
      </w:r>
      <w:bookmarkEnd w:id="25"/>
      <w:r>
        <w:rPr>
          <w:shd w:val="clear" w:color="auto" w:fill="FFFFFF"/>
        </w:rPr>
        <w:t xml:space="preserve">. </w:t>
      </w:r>
      <w:r w:rsidR="0017201D">
        <w:rPr>
          <w:shd w:val="clear" w:color="auto" w:fill="FFFFFF"/>
        </w:rPr>
        <w:t>Tento</w:t>
      </w:r>
      <w:r w:rsidR="00311E2A" w:rsidRPr="0025729F">
        <w:rPr>
          <w:shd w:val="clear" w:color="auto" w:fill="FFFFFF"/>
        </w:rPr>
        <w:t xml:space="preserve"> dotazník pro studenty se speciálními potřebami je pravidelně vytvářen na začátku kalendářního roku a slouží k nastavení podpůrných služeb</w:t>
      </w:r>
      <w:r>
        <w:rPr>
          <w:shd w:val="clear" w:color="auto" w:fill="FFFFFF"/>
        </w:rPr>
        <w:t xml:space="preserve">. </w:t>
      </w:r>
      <w:r>
        <w:t xml:space="preserve">Průzkumu se zúčastnilo 45 studentů (35 žen a 10 mužů), osloveni byli všichni registrovaní studenti se speciálními potřebami. Průzkum byl realizován anonymně v souladu s GDPR a Zákonem o ochraně osobních údajů. Základním cílem průzkumu bylo zmapovat informovanost studentů o nově vzniklé Akademické poradně a také motivovat studenty tuto poradnu navštěvovat. Studenti byli prostřednictvím tohoto dotazníku také </w:t>
      </w:r>
      <w:r w:rsidR="005237DD">
        <w:t xml:space="preserve">zpraveni </w:t>
      </w:r>
      <w:r>
        <w:t xml:space="preserve">o možnosti zapůjčit si bezplatně studijní pomůcky. </w:t>
      </w:r>
      <w:r w:rsidR="005237DD">
        <w:t>Dotazníkem b</w:t>
      </w:r>
      <w:r w:rsidRPr="00033D3C">
        <w:t>ylo zjištěno,</w:t>
      </w:r>
      <w:r>
        <w:t xml:space="preserve"> že</w:t>
      </w:r>
      <w:r w:rsidRPr="00033D3C">
        <w:rPr>
          <w:i/>
        </w:rPr>
        <w:t xml:space="preserve"> </w:t>
      </w:r>
      <w:r w:rsidRPr="00033D3C">
        <w:t>inf</w:t>
      </w:r>
      <w:r>
        <w:t xml:space="preserve">ormovanost studentů je dobrá, je možné ji </w:t>
      </w:r>
      <w:r w:rsidR="005237DD">
        <w:t xml:space="preserve">však </w:t>
      </w:r>
      <w:r>
        <w:t xml:space="preserve">ještě více podpořit umístěním aktualit na nástěnce </w:t>
      </w:r>
      <w:r w:rsidR="005237DD">
        <w:t>u</w:t>
      </w:r>
      <w:r>
        <w:t xml:space="preserve"> Akademické poradny. Studenti vědí, na koho se obracet, a s přístupem k informacím nemají problém. </w:t>
      </w:r>
      <w:r w:rsidR="005237DD">
        <w:t xml:space="preserve">Stále se však </w:t>
      </w:r>
      <w:r w:rsidR="00692AC7">
        <w:t>ukazuje</w:t>
      </w:r>
      <w:r w:rsidR="005237DD">
        <w:t>, že studenti neřeší sv</w:t>
      </w:r>
      <w:r w:rsidR="00F12123">
        <w:t>é problémy</w:t>
      </w:r>
      <w:r w:rsidR="005237DD">
        <w:t xml:space="preserve"> včas, tj. s dostatečným předstihem, aby se tak mohlo potížím </w:t>
      </w:r>
      <w:r w:rsidR="00F12123">
        <w:t xml:space="preserve">předejít </w:t>
      </w:r>
      <w:r w:rsidR="005237DD">
        <w:t xml:space="preserve">či je kompenzovat. </w:t>
      </w:r>
    </w:p>
    <w:p w14:paraId="798242B3" w14:textId="77777777" w:rsidR="00352759" w:rsidRPr="0025729F" w:rsidRDefault="00311E2A" w:rsidP="00352759">
      <w:pPr>
        <w:spacing w:line="276" w:lineRule="auto"/>
        <w:jc w:val="both"/>
        <w:outlineLvl w:val="3"/>
        <w:rPr>
          <w:i/>
        </w:rPr>
      </w:pPr>
      <w:r w:rsidRPr="0025729F">
        <w:rPr>
          <w:shd w:val="clear" w:color="auto" w:fill="FFFFFF"/>
        </w:rPr>
        <w:t xml:space="preserve"> </w:t>
      </w:r>
    </w:p>
    <w:p w14:paraId="1545CC85" w14:textId="77777777" w:rsidR="00311E2A" w:rsidRPr="0025729F" w:rsidRDefault="00E32DDA" w:rsidP="0025729F">
      <w:pPr>
        <w:pStyle w:val="Nadpis2"/>
        <w:numPr>
          <w:ilvl w:val="0"/>
          <w:numId w:val="20"/>
        </w:numPr>
        <w:spacing w:after="120"/>
        <w:ind w:left="714" w:hanging="357"/>
        <w:rPr>
          <w:rFonts w:ascii="Times New Roman" w:hAnsi="Times New Roman" w:cs="Times New Roman"/>
          <w:color w:val="auto"/>
          <w:shd w:val="clear" w:color="auto" w:fill="FFFFFF"/>
        </w:rPr>
      </w:pPr>
      <w:bookmarkStart w:id="26" w:name="_Toc501108830"/>
      <w:r w:rsidRPr="0025729F">
        <w:rPr>
          <w:rFonts w:ascii="Times New Roman" w:hAnsi="Times New Roman" w:cs="Times New Roman"/>
          <w:color w:val="auto"/>
        </w:rPr>
        <w:t>Hodnocení vzdělávací činnosti absolventy</w:t>
      </w:r>
      <w:bookmarkEnd w:id="26"/>
      <w:r w:rsidRPr="0025729F">
        <w:rPr>
          <w:rFonts w:ascii="Times New Roman" w:hAnsi="Times New Roman" w:cs="Times New Roman"/>
          <w:color w:val="auto"/>
        </w:rPr>
        <w:t xml:space="preserve"> </w:t>
      </w:r>
    </w:p>
    <w:p w14:paraId="31C3D35F" w14:textId="1CDD589D" w:rsidR="00352759" w:rsidRPr="0025729F" w:rsidRDefault="00E32DDA" w:rsidP="0035275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9F">
        <w:rPr>
          <w:rFonts w:ascii="Times New Roman" w:hAnsi="Times New Roman" w:cs="Times New Roman"/>
          <w:sz w:val="24"/>
          <w:szCs w:val="24"/>
        </w:rPr>
        <w:t xml:space="preserve">Na </w:t>
      </w:r>
      <w:r w:rsidR="004F46A4">
        <w:rPr>
          <w:rFonts w:ascii="Times New Roman" w:hAnsi="Times New Roman" w:cs="Times New Roman"/>
          <w:sz w:val="24"/>
          <w:szCs w:val="24"/>
        </w:rPr>
        <w:t>fakultě</w:t>
      </w:r>
      <w:r w:rsidRPr="0025729F">
        <w:rPr>
          <w:rFonts w:ascii="Times New Roman" w:hAnsi="Times New Roman" w:cs="Times New Roman"/>
          <w:sz w:val="24"/>
          <w:szCs w:val="24"/>
        </w:rPr>
        <w:t xml:space="preserve"> </w:t>
      </w:r>
      <w:r w:rsidRPr="005D48BC">
        <w:rPr>
          <w:rFonts w:ascii="Times New Roman" w:hAnsi="Times New Roman" w:cs="Times New Roman"/>
          <w:sz w:val="24"/>
          <w:szCs w:val="24"/>
        </w:rPr>
        <w:t xml:space="preserve">zatím neprobíhalo celofakultní </w:t>
      </w:r>
      <w:r w:rsidR="00352759" w:rsidRPr="005D48BC">
        <w:rPr>
          <w:rFonts w:ascii="Times New Roman" w:hAnsi="Times New Roman" w:cs="Times New Roman"/>
          <w:sz w:val="24"/>
          <w:szCs w:val="24"/>
        </w:rPr>
        <w:t xml:space="preserve">systémové </w:t>
      </w:r>
      <w:r w:rsidRPr="005D48BC">
        <w:rPr>
          <w:rFonts w:ascii="Times New Roman" w:hAnsi="Times New Roman" w:cs="Times New Roman"/>
          <w:sz w:val="24"/>
          <w:szCs w:val="24"/>
        </w:rPr>
        <w:t xml:space="preserve">hodnocení vzdělávací činnosti absolventy. Dosud </w:t>
      </w:r>
      <w:r w:rsidR="00314334">
        <w:rPr>
          <w:rFonts w:ascii="Times New Roman" w:hAnsi="Times New Roman" w:cs="Times New Roman"/>
          <w:sz w:val="24"/>
          <w:szCs w:val="24"/>
        </w:rPr>
        <w:t>docházelo ke</w:t>
      </w:r>
      <w:r w:rsidRPr="005D48BC">
        <w:rPr>
          <w:rFonts w:ascii="Times New Roman" w:hAnsi="Times New Roman" w:cs="Times New Roman"/>
          <w:sz w:val="24"/>
          <w:szCs w:val="24"/>
        </w:rPr>
        <w:t xml:space="preserve"> kontakt</w:t>
      </w:r>
      <w:r w:rsidR="00314334">
        <w:rPr>
          <w:rFonts w:ascii="Times New Roman" w:hAnsi="Times New Roman" w:cs="Times New Roman"/>
          <w:sz w:val="24"/>
          <w:szCs w:val="24"/>
        </w:rPr>
        <w:t>u</w:t>
      </w:r>
      <w:r w:rsidRPr="005D48BC">
        <w:rPr>
          <w:rFonts w:ascii="Times New Roman" w:hAnsi="Times New Roman" w:cs="Times New Roman"/>
          <w:sz w:val="24"/>
          <w:szCs w:val="24"/>
        </w:rPr>
        <w:t xml:space="preserve"> s absolventy spíše individuálně na některých katedrách</w:t>
      </w:r>
      <w:r w:rsidR="005D48BC" w:rsidRPr="005D48BC">
        <w:rPr>
          <w:rFonts w:ascii="Times New Roman" w:hAnsi="Times New Roman" w:cs="Times New Roman"/>
          <w:sz w:val="24"/>
          <w:szCs w:val="24"/>
        </w:rPr>
        <w:t>,</w:t>
      </w:r>
      <w:r w:rsidR="0012051B" w:rsidRPr="005D48BC">
        <w:rPr>
          <w:rFonts w:ascii="Times New Roman" w:hAnsi="Times New Roman" w:cs="Times New Roman"/>
          <w:sz w:val="24"/>
          <w:szCs w:val="24"/>
        </w:rPr>
        <w:t xml:space="preserve"> </w:t>
      </w:r>
      <w:r w:rsidR="005D48BC" w:rsidRPr="005D48BC">
        <w:rPr>
          <w:rFonts w:ascii="Times New Roman" w:hAnsi="Times New Roman" w:cs="Times New Roman"/>
          <w:sz w:val="24"/>
          <w:szCs w:val="24"/>
        </w:rPr>
        <w:t xml:space="preserve">které jsou v úzkém kontaktu se svými absolventy a realizují společná setkání </w:t>
      </w:r>
      <w:r w:rsidR="0012051B" w:rsidRPr="005D48BC">
        <w:rPr>
          <w:rFonts w:ascii="Times New Roman" w:hAnsi="Times New Roman" w:cs="Times New Roman"/>
          <w:sz w:val="24"/>
          <w:szCs w:val="24"/>
        </w:rPr>
        <w:t xml:space="preserve">v rámci akcí pořádaných </w:t>
      </w:r>
      <w:r w:rsidR="005D48BC" w:rsidRPr="005D48BC">
        <w:rPr>
          <w:rFonts w:ascii="Times New Roman" w:hAnsi="Times New Roman" w:cs="Times New Roman"/>
          <w:sz w:val="24"/>
          <w:szCs w:val="24"/>
        </w:rPr>
        <w:t xml:space="preserve">pod </w:t>
      </w:r>
      <w:r w:rsidR="0017201D">
        <w:rPr>
          <w:rFonts w:ascii="Times New Roman" w:hAnsi="Times New Roman" w:cs="Times New Roman"/>
          <w:sz w:val="24"/>
          <w:szCs w:val="24"/>
        </w:rPr>
        <w:t xml:space="preserve">záštitou různých projektů </w:t>
      </w:r>
      <w:r w:rsidR="005D48BC" w:rsidRPr="005D48BC">
        <w:rPr>
          <w:rFonts w:ascii="Times New Roman" w:hAnsi="Times New Roman" w:cs="Times New Roman"/>
          <w:sz w:val="24"/>
          <w:szCs w:val="24"/>
        </w:rPr>
        <w:t xml:space="preserve">či </w:t>
      </w:r>
      <w:r w:rsidR="0017201D">
        <w:rPr>
          <w:rFonts w:ascii="Times New Roman" w:hAnsi="Times New Roman" w:cs="Times New Roman"/>
          <w:sz w:val="24"/>
          <w:szCs w:val="24"/>
        </w:rPr>
        <w:t xml:space="preserve">seminářů </w:t>
      </w:r>
      <w:r w:rsidR="0012051B" w:rsidRPr="005D48BC">
        <w:rPr>
          <w:rFonts w:ascii="Times New Roman" w:hAnsi="Times New Roman" w:cs="Times New Roman"/>
          <w:sz w:val="24"/>
          <w:szCs w:val="24"/>
        </w:rPr>
        <w:t>pro odbornou veřejnos</w:t>
      </w:r>
      <w:r w:rsidR="005D48BC" w:rsidRPr="005D48BC">
        <w:rPr>
          <w:rFonts w:ascii="Times New Roman" w:hAnsi="Times New Roman" w:cs="Times New Roman"/>
          <w:sz w:val="24"/>
          <w:szCs w:val="24"/>
        </w:rPr>
        <w:t>t</w:t>
      </w:r>
      <w:r w:rsidRPr="005D48BC">
        <w:rPr>
          <w:rFonts w:ascii="Times New Roman" w:hAnsi="Times New Roman" w:cs="Times New Roman"/>
          <w:sz w:val="24"/>
          <w:szCs w:val="24"/>
        </w:rPr>
        <w:t xml:space="preserve">. </w:t>
      </w:r>
      <w:r w:rsidR="0017201D">
        <w:rPr>
          <w:rFonts w:ascii="Times New Roman" w:hAnsi="Times New Roman" w:cs="Times New Roman"/>
          <w:sz w:val="24"/>
          <w:szCs w:val="24"/>
        </w:rPr>
        <w:t xml:space="preserve">Při těchto příležitostech </w:t>
      </w:r>
      <w:r w:rsidR="00352759" w:rsidRPr="005D48BC">
        <w:rPr>
          <w:rFonts w:ascii="Times New Roman" w:hAnsi="Times New Roman" w:cs="Times New Roman"/>
          <w:sz w:val="24"/>
          <w:szCs w:val="24"/>
        </w:rPr>
        <w:t>probíh</w:t>
      </w:r>
      <w:r w:rsidR="0017201D">
        <w:rPr>
          <w:rFonts w:ascii="Times New Roman" w:hAnsi="Times New Roman" w:cs="Times New Roman"/>
          <w:sz w:val="24"/>
          <w:szCs w:val="24"/>
        </w:rPr>
        <w:t>ala</w:t>
      </w:r>
      <w:r w:rsidR="00352759" w:rsidRPr="005D48BC">
        <w:rPr>
          <w:rFonts w:ascii="Times New Roman" w:hAnsi="Times New Roman" w:cs="Times New Roman"/>
          <w:sz w:val="24"/>
          <w:szCs w:val="24"/>
        </w:rPr>
        <w:t xml:space="preserve"> i</w:t>
      </w:r>
      <w:r w:rsidRPr="005D48BC">
        <w:rPr>
          <w:rFonts w:ascii="Times New Roman" w:hAnsi="Times New Roman" w:cs="Times New Roman"/>
          <w:sz w:val="24"/>
          <w:szCs w:val="24"/>
        </w:rPr>
        <w:t xml:space="preserve"> hodnocení </w:t>
      </w:r>
      <w:r w:rsidR="00352759" w:rsidRPr="005D48BC">
        <w:rPr>
          <w:rFonts w:ascii="Times New Roman" w:hAnsi="Times New Roman" w:cs="Times New Roman"/>
          <w:sz w:val="24"/>
          <w:szCs w:val="24"/>
        </w:rPr>
        <w:t>absolvovaného studia.</w:t>
      </w:r>
      <w:r w:rsidR="00352759" w:rsidRPr="00257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0C12C" w14:textId="77777777" w:rsidR="00E32DDA" w:rsidRPr="0025729F" w:rsidRDefault="0017201D" w:rsidP="0035275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5D48BC">
        <w:rPr>
          <w:rFonts w:ascii="Times New Roman" w:hAnsi="Times New Roman" w:cs="Times New Roman"/>
          <w:sz w:val="24"/>
          <w:szCs w:val="24"/>
        </w:rPr>
        <w:t xml:space="preserve">se </w:t>
      </w:r>
      <w:r w:rsidR="00F12123">
        <w:rPr>
          <w:rFonts w:ascii="Times New Roman" w:hAnsi="Times New Roman" w:cs="Times New Roman"/>
          <w:sz w:val="24"/>
          <w:szCs w:val="24"/>
        </w:rPr>
        <w:t>však</w:t>
      </w:r>
      <w:r w:rsidR="005D48BC">
        <w:rPr>
          <w:rFonts w:ascii="Times New Roman" w:hAnsi="Times New Roman" w:cs="Times New Roman"/>
          <w:sz w:val="24"/>
          <w:szCs w:val="24"/>
        </w:rPr>
        <w:t xml:space="preserve"> aktivně zapojil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48BC">
        <w:rPr>
          <w:rFonts w:ascii="Times New Roman" w:hAnsi="Times New Roman" w:cs="Times New Roman"/>
          <w:sz w:val="24"/>
          <w:szCs w:val="24"/>
        </w:rPr>
        <w:t xml:space="preserve"> do přípravy celouniverzitní evaluace studia </w:t>
      </w:r>
      <w:r>
        <w:rPr>
          <w:rFonts w:ascii="Times New Roman" w:hAnsi="Times New Roman" w:cs="Times New Roman"/>
          <w:sz w:val="24"/>
          <w:szCs w:val="24"/>
        </w:rPr>
        <w:t xml:space="preserve">absolventy organizované </w:t>
      </w:r>
      <w:r w:rsidR="005D48BC">
        <w:rPr>
          <w:rFonts w:ascii="Times New Roman" w:hAnsi="Times New Roman" w:cs="Times New Roman"/>
          <w:sz w:val="24"/>
          <w:szCs w:val="24"/>
        </w:rPr>
        <w:t>na UK, pro niž připravila i vlastní soubor otázek</w:t>
      </w:r>
      <w:r w:rsidR="00E32DDA" w:rsidRPr="002572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138B4" w14:textId="77777777" w:rsidR="00453B30" w:rsidRPr="0025729F" w:rsidRDefault="00C36649" w:rsidP="0025729F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27" w:name="_Toc501108831"/>
      <w:r w:rsidRPr="0025729F">
        <w:rPr>
          <w:rFonts w:ascii="Times New Roman" w:hAnsi="Times New Roman" w:cs="Times New Roman"/>
          <w:color w:val="auto"/>
        </w:rPr>
        <w:lastRenderedPageBreak/>
        <w:t>Část IV.</w:t>
      </w:r>
      <w:bookmarkEnd w:id="27"/>
    </w:p>
    <w:p w14:paraId="2CF902FF" w14:textId="77777777" w:rsidR="00C36649" w:rsidRDefault="00C36649" w:rsidP="0025729F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28" w:name="_Toc501108832"/>
      <w:r w:rsidRPr="0025729F">
        <w:rPr>
          <w:rFonts w:ascii="Times New Roman" w:hAnsi="Times New Roman" w:cs="Times New Roman"/>
          <w:color w:val="auto"/>
        </w:rPr>
        <w:t>Změny v hodnocení vzdělávací činnosti</w:t>
      </w:r>
      <w:bookmarkEnd w:id="28"/>
    </w:p>
    <w:p w14:paraId="67F4AD8D" w14:textId="77777777" w:rsidR="0025729F" w:rsidRPr="0025729F" w:rsidRDefault="0025729F" w:rsidP="0025729F"/>
    <w:p w14:paraId="30B2EDEA" w14:textId="6E5863AE" w:rsidR="0001219B" w:rsidRDefault="0001219B" w:rsidP="0001219B">
      <w:pPr>
        <w:pStyle w:val="Default"/>
        <w:spacing w:after="120" w:line="276" w:lineRule="auto"/>
        <w:jc w:val="both"/>
        <w:rPr>
          <w:color w:val="auto"/>
        </w:rPr>
      </w:pPr>
      <w:r w:rsidRPr="0001219B">
        <w:rPr>
          <w:color w:val="auto"/>
        </w:rPr>
        <w:t>Hlavní snahou fakulty bude podpora výraznější</w:t>
      </w:r>
      <w:r w:rsidR="00314334">
        <w:rPr>
          <w:color w:val="auto"/>
        </w:rPr>
        <w:t>ho</w:t>
      </w:r>
      <w:r w:rsidRPr="0001219B">
        <w:rPr>
          <w:color w:val="auto"/>
        </w:rPr>
        <w:t xml:space="preserve"> zapojení garantů studijních oborů/programů</w:t>
      </w:r>
      <w:r>
        <w:rPr>
          <w:color w:val="auto"/>
        </w:rPr>
        <w:t xml:space="preserve"> nejen do přípravy anket, ale zejména</w:t>
      </w:r>
      <w:r w:rsidRPr="0001219B">
        <w:rPr>
          <w:color w:val="auto"/>
        </w:rPr>
        <w:t xml:space="preserve"> do vyhodnocování výsledků zjištěných v rámci ankety</w:t>
      </w:r>
      <w:r>
        <w:rPr>
          <w:color w:val="auto"/>
        </w:rPr>
        <w:t xml:space="preserve"> s cílem promítnout výsledky do zkvalitnění realizace jednotlivých studijních oborů/programů.</w:t>
      </w:r>
    </w:p>
    <w:p w14:paraId="5B5DEEDE" w14:textId="77777777" w:rsidR="0001219B" w:rsidRPr="0025729F" w:rsidRDefault="0001219B" w:rsidP="0001219B">
      <w:pPr>
        <w:pStyle w:val="Default"/>
        <w:spacing w:after="120" w:line="276" w:lineRule="auto"/>
        <w:jc w:val="both"/>
        <w:rPr>
          <w:color w:val="auto"/>
        </w:rPr>
      </w:pPr>
      <w:r w:rsidRPr="0001219B">
        <w:rPr>
          <w:color w:val="auto"/>
        </w:rPr>
        <w:t>Jedním z dalších cílů je pak i rozšíření hodnocení na oblast studia účastníků celoživotního vzdělávání, především v programech pro výkon povolání.</w:t>
      </w:r>
    </w:p>
    <w:p w14:paraId="3DA191B7" w14:textId="77777777" w:rsidR="0001219B" w:rsidRDefault="00D33E0E" w:rsidP="0001219B">
      <w:pPr>
        <w:pStyle w:val="Default"/>
        <w:spacing w:after="120" w:line="276" w:lineRule="auto"/>
        <w:jc w:val="both"/>
        <w:rPr>
          <w:color w:val="auto"/>
        </w:rPr>
      </w:pPr>
      <w:r w:rsidRPr="0001219B">
        <w:rPr>
          <w:color w:val="auto"/>
        </w:rPr>
        <w:t xml:space="preserve">Změny v nastavení hodnocení budou </w:t>
      </w:r>
      <w:r w:rsidR="0001219B">
        <w:rPr>
          <w:color w:val="auto"/>
        </w:rPr>
        <w:t xml:space="preserve">rovněž </w:t>
      </w:r>
      <w:r w:rsidRPr="0001219B">
        <w:rPr>
          <w:color w:val="auto"/>
        </w:rPr>
        <w:t xml:space="preserve">směřovat </w:t>
      </w:r>
      <w:r w:rsidR="001F5734" w:rsidRPr="0001219B">
        <w:rPr>
          <w:color w:val="auto"/>
        </w:rPr>
        <w:t>k</w:t>
      </w:r>
      <w:r w:rsidRPr="0001219B">
        <w:rPr>
          <w:color w:val="auto"/>
        </w:rPr>
        <w:t xml:space="preserve"> efektivnější</w:t>
      </w:r>
      <w:r w:rsidR="001F5734" w:rsidRPr="0001219B">
        <w:rPr>
          <w:color w:val="auto"/>
        </w:rPr>
        <w:t>mu</w:t>
      </w:r>
      <w:r w:rsidRPr="0001219B">
        <w:rPr>
          <w:color w:val="auto"/>
        </w:rPr>
        <w:t xml:space="preserve"> využití uvedené aplikace</w:t>
      </w:r>
      <w:r w:rsidR="0017201D">
        <w:rPr>
          <w:color w:val="auto"/>
        </w:rPr>
        <w:t xml:space="preserve"> v úzké spolupráci s jejími tvůrci</w:t>
      </w:r>
      <w:r w:rsidR="0034397D">
        <w:rPr>
          <w:color w:val="auto"/>
        </w:rPr>
        <w:t xml:space="preserve"> a rovněž za podpory studentských oborových rad.</w:t>
      </w:r>
    </w:p>
    <w:p w14:paraId="7A5FF5DD" w14:textId="77777777" w:rsidR="002D7E8D" w:rsidRPr="0025729F" w:rsidRDefault="002D7E8D" w:rsidP="00352759">
      <w:pPr>
        <w:pStyle w:val="Default"/>
        <w:spacing w:line="276" w:lineRule="auto"/>
        <w:rPr>
          <w:color w:val="auto"/>
        </w:rPr>
      </w:pPr>
    </w:p>
    <w:p w14:paraId="4E681E10" w14:textId="77777777" w:rsidR="009301FC" w:rsidRPr="0025729F" w:rsidRDefault="009301FC" w:rsidP="00352759">
      <w:pPr>
        <w:pStyle w:val="Default"/>
        <w:spacing w:line="276" w:lineRule="auto"/>
      </w:pPr>
    </w:p>
    <w:sectPr w:rsidR="009301FC" w:rsidRPr="0025729F" w:rsidSect="000867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8B8A" w14:textId="77777777" w:rsidR="00102E68" w:rsidRDefault="00102E68" w:rsidP="0008676C">
      <w:r>
        <w:separator/>
      </w:r>
    </w:p>
  </w:endnote>
  <w:endnote w:type="continuationSeparator" w:id="0">
    <w:p w14:paraId="7A5C97AF" w14:textId="77777777" w:rsidR="00102E68" w:rsidRDefault="00102E68" w:rsidP="000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99723"/>
      <w:docPartObj>
        <w:docPartGallery w:val="Page Numbers (Bottom of Page)"/>
        <w:docPartUnique/>
      </w:docPartObj>
    </w:sdtPr>
    <w:sdtEndPr/>
    <w:sdtContent>
      <w:p w14:paraId="09820420" w14:textId="77777777" w:rsidR="0034397D" w:rsidRDefault="0034397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6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E4EDB4" w14:textId="77777777" w:rsidR="0034397D" w:rsidRDefault="00343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1875" w14:textId="77777777" w:rsidR="00102E68" w:rsidRDefault="00102E68" w:rsidP="0008676C">
      <w:r>
        <w:separator/>
      </w:r>
    </w:p>
  </w:footnote>
  <w:footnote w:type="continuationSeparator" w:id="0">
    <w:p w14:paraId="5EB12D3B" w14:textId="77777777" w:rsidR="00102E68" w:rsidRDefault="00102E68" w:rsidP="0008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2BC"/>
    <w:multiLevelType w:val="hybridMultilevel"/>
    <w:tmpl w:val="497CA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2286"/>
    <w:multiLevelType w:val="hybridMultilevel"/>
    <w:tmpl w:val="D5F4B04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3A4A5C"/>
    <w:multiLevelType w:val="hybridMultilevel"/>
    <w:tmpl w:val="D408EF6C"/>
    <w:lvl w:ilvl="0" w:tplc="D4C2C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1C297CB8"/>
    <w:multiLevelType w:val="multilevel"/>
    <w:tmpl w:val="F30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E3480"/>
    <w:multiLevelType w:val="hybridMultilevel"/>
    <w:tmpl w:val="B62E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E3E"/>
    <w:multiLevelType w:val="hybridMultilevel"/>
    <w:tmpl w:val="BA002F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62AEB"/>
    <w:multiLevelType w:val="hybridMultilevel"/>
    <w:tmpl w:val="BC28E0DA"/>
    <w:lvl w:ilvl="0" w:tplc="040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3C0C"/>
    <w:multiLevelType w:val="hybridMultilevel"/>
    <w:tmpl w:val="49E089C8"/>
    <w:lvl w:ilvl="0" w:tplc="DC80A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CD2"/>
    <w:multiLevelType w:val="hybridMultilevel"/>
    <w:tmpl w:val="66D69574"/>
    <w:lvl w:ilvl="0" w:tplc="5BA6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634CE"/>
    <w:multiLevelType w:val="hybridMultilevel"/>
    <w:tmpl w:val="6866AA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072BD"/>
    <w:multiLevelType w:val="hybridMultilevel"/>
    <w:tmpl w:val="37A86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5FEA"/>
    <w:multiLevelType w:val="hybridMultilevel"/>
    <w:tmpl w:val="4ABC71AC"/>
    <w:lvl w:ilvl="0" w:tplc="71C61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32F4A"/>
    <w:multiLevelType w:val="hybridMultilevel"/>
    <w:tmpl w:val="F92E155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50B1E"/>
    <w:multiLevelType w:val="hybridMultilevel"/>
    <w:tmpl w:val="749C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82F92"/>
    <w:multiLevelType w:val="hybridMultilevel"/>
    <w:tmpl w:val="B1407CAC"/>
    <w:lvl w:ilvl="0" w:tplc="6C80C43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0BFB"/>
    <w:multiLevelType w:val="hybridMultilevel"/>
    <w:tmpl w:val="A42A7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743"/>
    <w:multiLevelType w:val="hybridMultilevel"/>
    <w:tmpl w:val="2BCA7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70643"/>
    <w:multiLevelType w:val="hybridMultilevel"/>
    <w:tmpl w:val="D0C4A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8274E"/>
    <w:multiLevelType w:val="hybridMultilevel"/>
    <w:tmpl w:val="A20877FE"/>
    <w:lvl w:ilvl="0" w:tplc="5BA661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470C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1047AA"/>
    <w:multiLevelType w:val="hybridMultilevel"/>
    <w:tmpl w:val="FFEE01B4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C4E4E"/>
    <w:multiLevelType w:val="hybridMultilevel"/>
    <w:tmpl w:val="747C5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401F1"/>
    <w:multiLevelType w:val="hybridMultilevel"/>
    <w:tmpl w:val="9932BB2A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21"/>
  </w:num>
  <w:num w:numId="11">
    <w:abstractNumId w:val="3"/>
  </w:num>
  <w:num w:numId="12">
    <w:abstractNumId w:val="19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6"/>
  </w:num>
  <w:num w:numId="20">
    <w:abstractNumId w:val="15"/>
  </w:num>
  <w:num w:numId="21">
    <w:abstractNumId w:val="20"/>
  </w:num>
  <w:num w:numId="22">
    <w:abstractNumId w:val="7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8A"/>
    <w:rsid w:val="000059C0"/>
    <w:rsid w:val="00007DED"/>
    <w:rsid w:val="0001219B"/>
    <w:rsid w:val="0002305B"/>
    <w:rsid w:val="00033D3C"/>
    <w:rsid w:val="000379F4"/>
    <w:rsid w:val="00062BA0"/>
    <w:rsid w:val="00062E35"/>
    <w:rsid w:val="00080E85"/>
    <w:rsid w:val="0008676C"/>
    <w:rsid w:val="00092644"/>
    <w:rsid w:val="00094197"/>
    <w:rsid w:val="0009538A"/>
    <w:rsid w:val="000A47CD"/>
    <w:rsid w:val="000D07D0"/>
    <w:rsid w:val="000D496D"/>
    <w:rsid w:val="00102E68"/>
    <w:rsid w:val="0012051B"/>
    <w:rsid w:val="00120EE4"/>
    <w:rsid w:val="001221F6"/>
    <w:rsid w:val="00122BB5"/>
    <w:rsid w:val="00156839"/>
    <w:rsid w:val="0017201D"/>
    <w:rsid w:val="00190A0B"/>
    <w:rsid w:val="001A6226"/>
    <w:rsid w:val="001B74FE"/>
    <w:rsid w:val="001C55D7"/>
    <w:rsid w:val="001D5CFF"/>
    <w:rsid w:val="001F1650"/>
    <w:rsid w:val="001F5734"/>
    <w:rsid w:val="002003E6"/>
    <w:rsid w:val="0021367E"/>
    <w:rsid w:val="00214FCE"/>
    <w:rsid w:val="002301D6"/>
    <w:rsid w:val="00244BD8"/>
    <w:rsid w:val="00250757"/>
    <w:rsid w:val="0025729F"/>
    <w:rsid w:val="00262CE7"/>
    <w:rsid w:val="00265FE7"/>
    <w:rsid w:val="00270411"/>
    <w:rsid w:val="0029059C"/>
    <w:rsid w:val="00297C91"/>
    <w:rsid w:val="002C21B7"/>
    <w:rsid w:val="002D2098"/>
    <w:rsid w:val="002D7E8D"/>
    <w:rsid w:val="00311E2A"/>
    <w:rsid w:val="00314334"/>
    <w:rsid w:val="0034397D"/>
    <w:rsid w:val="00343A85"/>
    <w:rsid w:val="0035104A"/>
    <w:rsid w:val="00352759"/>
    <w:rsid w:val="0036180E"/>
    <w:rsid w:val="0037104E"/>
    <w:rsid w:val="003719DC"/>
    <w:rsid w:val="003827D1"/>
    <w:rsid w:val="00383ED0"/>
    <w:rsid w:val="00394270"/>
    <w:rsid w:val="003A68B7"/>
    <w:rsid w:val="003B229D"/>
    <w:rsid w:val="003C7E89"/>
    <w:rsid w:val="003F3084"/>
    <w:rsid w:val="00417CAD"/>
    <w:rsid w:val="00425BBC"/>
    <w:rsid w:val="004322FB"/>
    <w:rsid w:val="00453B30"/>
    <w:rsid w:val="00472F52"/>
    <w:rsid w:val="004A2894"/>
    <w:rsid w:val="004B51BC"/>
    <w:rsid w:val="004D5C99"/>
    <w:rsid w:val="004E1434"/>
    <w:rsid w:val="004F46A4"/>
    <w:rsid w:val="004F6879"/>
    <w:rsid w:val="00513967"/>
    <w:rsid w:val="005237DD"/>
    <w:rsid w:val="005626E0"/>
    <w:rsid w:val="005707F2"/>
    <w:rsid w:val="0059003B"/>
    <w:rsid w:val="0059141C"/>
    <w:rsid w:val="00592E7A"/>
    <w:rsid w:val="005A45CF"/>
    <w:rsid w:val="005A55A4"/>
    <w:rsid w:val="005C4045"/>
    <w:rsid w:val="005D0727"/>
    <w:rsid w:val="005D48BC"/>
    <w:rsid w:val="005E4AE5"/>
    <w:rsid w:val="005E6E6F"/>
    <w:rsid w:val="005F4132"/>
    <w:rsid w:val="00605AF3"/>
    <w:rsid w:val="006617A9"/>
    <w:rsid w:val="00662918"/>
    <w:rsid w:val="00692AC7"/>
    <w:rsid w:val="006B4321"/>
    <w:rsid w:val="006D29B7"/>
    <w:rsid w:val="006D7F0A"/>
    <w:rsid w:val="006F0056"/>
    <w:rsid w:val="00700AAD"/>
    <w:rsid w:val="007463EE"/>
    <w:rsid w:val="00750E17"/>
    <w:rsid w:val="00782D8A"/>
    <w:rsid w:val="007A16D1"/>
    <w:rsid w:val="007C0243"/>
    <w:rsid w:val="007E2AE0"/>
    <w:rsid w:val="007E698E"/>
    <w:rsid w:val="007F383F"/>
    <w:rsid w:val="007F7090"/>
    <w:rsid w:val="0080032F"/>
    <w:rsid w:val="00832679"/>
    <w:rsid w:val="00833E0A"/>
    <w:rsid w:val="0087246B"/>
    <w:rsid w:val="00875768"/>
    <w:rsid w:val="00875797"/>
    <w:rsid w:val="008866CF"/>
    <w:rsid w:val="00892500"/>
    <w:rsid w:val="00897043"/>
    <w:rsid w:val="008A2DE1"/>
    <w:rsid w:val="008C7A29"/>
    <w:rsid w:val="008E1296"/>
    <w:rsid w:val="00903BC0"/>
    <w:rsid w:val="009301FC"/>
    <w:rsid w:val="009679A2"/>
    <w:rsid w:val="00974777"/>
    <w:rsid w:val="009A2749"/>
    <w:rsid w:val="009B0860"/>
    <w:rsid w:val="009C0FEF"/>
    <w:rsid w:val="00A06E05"/>
    <w:rsid w:val="00A1395A"/>
    <w:rsid w:val="00A314C0"/>
    <w:rsid w:val="00A4497F"/>
    <w:rsid w:val="00A47664"/>
    <w:rsid w:val="00A5775A"/>
    <w:rsid w:val="00A6155E"/>
    <w:rsid w:val="00A70819"/>
    <w:rsid w:val="00A931B1"/>
    <w:rsid w:val="00A95316"/>
    <w:rsid w:val="00AB227B"/>
    <w:rsid w:val="00AC2419"/>
    <w:rsid w:val="00AE4298"/>
    <w:rsid w:val="00B11C24"/>
    <w:rsid w:val="00B15DD0"/>
    <w:rsid w:val="00B25C89"/>
    <w:rsid w:val="00B436C7"/>
    <w:rsid w:val="00B47E07"/>
    <w:rsid w:val="00B543CC"/>
    <w:rsid w:val="00B6629A"/>
    <w:rsid w:val="00B73BF3"/>
    <w:rsid w:val="00BC65CF"/>
    <w:rsid w:val="00BC7A1D"/>
    <w:rsid w:val="00BD2CFC"/>
    <w:rsid w:val="00BE1157"/>
    <w:rsid w:val="00BE3805"/>
    <w:rsid w:val="00BF137B"/>
    <w:rsid w:val="00C07190"/>
    <w:rsid w:val="00C120CE"/>
    <w:rsid w:val="00C20592"/>
    <w:rsid w:val="00C2319B"/>
    <w:rsid w:val="00C34201"/>
    <w:rsid w:val="00C36649"/>
    <w:rsid w:val="00C416A6"/>
    <w:rsid w:val="00C5407D"/>
    <w:rsid w:val="00C900A1"/>
    <w:rsid w:val="00CB40D4"/>
    <w:rsid w:val="00CC5B45"/>
    <w:rsid w:val="00CD4612"/>
    <w:rsid w:val="00CE0F16"/>
    <w:rsid w:val="00CE4EDB"/>
    <w:rsid w:val="00D14D55"/>
    <w:rsid w:val="00D2404E"/>
    <w:rsid w:val="00D33E0E"/>
    <w:rsid w:val="00D419C6"/>
    <w:rsid w:val="00D42D19"/>
    <w:rsid w:val="00D52299"/>
    <w:rsid w:val="00D573E5"/>
    <w:rsid w:val="00D609AE"/>
    <w:rsid w:val="00D721E0"/>
    <w:rsid w:val="00D7282D"/>
    <w:rsid w:val="00DE3B5E"/>
    <w:rsid w:val="00DF25F8"/>
    <w:rsid w:val="00E03021"/>
    <w:rsid w:val="00E10E15"/>
    <w:rsid w:val="00E25D4C"/>
    <w:rsid w:val="00E30DED"/>
    <w:rsid w:val="00E32DDA"/>
    <w:rsid w:val="00E8799E"/>
    <w:rsid w:val="00E91C25"/>
    <w:rsid w:val="00EE0C0C"/>
    <w:rsid w:val="00EE2E01"/>
    <w:rsid w:val="00EE4E59"/>
    <w:rsid w:val="00EF1038"/>
    <w:rsid w:val="00F12123"/>
    <w:rsid w:val="00F1400B"/>
    <w:rsid w:val="00F5381D"/>
    <w:rsid w:val="00F5602C"/>
    <w:rsid w:val="00F6111E"/>
    <w:rsid w:val="00F67962"/>
    <w:rsid w:val="00F67E55"/>
    <w:rsid w:val="00F7723E"/>
    <w:rsid w:val="00F805DB"/>
    <w:rsid w:val="00F977F9"/>
    <w:rsid w:val="00FA4640"/>
    <w:rsid w:val="00FD132D"/>
    <w:rsid w:val="00FD5BFD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377"/>
  <w15:docId w15:val="{6C0286EB-66C0-450C-AEE0-E53F91F8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3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1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82D8A"/>
    <w:pPr>
      <w:spacing w:after="120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F2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5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5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44BD8"/>
    <w:pPr>
      <w:ind w:left="720"/>
      <w:contextualSpacing/>
    </w:pPr>
  </w:style>
  <w:style w:type="paragraph" w:styleId="Bezmezer">
    <w:name w:val="No Spacing"/>
    <w:uiPriority w:val="1"/>
    <w:qFormat/>
    <w:rsid w:val="005A45C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C7A2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E69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2CFC"/>
    <w:rPr>
      <w:color w:val="0000FF" w:themeColor="hyperlink"/>
      <w:u w:val="single"/>
    </w:rPr>
  </w:style>
  <w:style w:type="paragraph" w:customStyle="1" w:styleId="Default">
    <w:name w:val="Default"/>
    <w:rsid w:val="0002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3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3B30"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53B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3B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453B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86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67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6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7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1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C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BC7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paragraph">
    <w:name w:val="paragraph"/>
    <w:basedOn w:val="Normln"/>
    <w:rsid w:val="00A70819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A70819"/>
  </w:style>
  <w:style w:type="character" w:customStyle="1" w:styleId="eop">
    <w:name w:val="eop"/>
    <w:basedOn w:val="Standardnpsmoodstavce"/>
    <w:rsid w:val="00A7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59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2" w:color="E0E0E0"/>
                <w:bottom w:val="single" w:sz="6" w:space="0" w:color="E0E0E0"/>
                <w:right w:val="single" w:sz="6" w:space="2" w:color="E0E0E0"/>
              </w:divBdr>
              <w:divsChild>
                <w:div w:id="7335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E98C-5CB9-4759-9BAE-BB405AEF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3407</Words>
  <Characters>20104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Pavla Nečasová</cp:lastModifiedBy>
  <cp:revision>3</cp:revision>
  <dcterms:created xsi:type="dcterms:W3CDTF">2019-03-20T13:58:00Z</dcterms:created>
  <dcterms:modified xsi:type="dcterms:W3CDTF">2019-03-20T14:59:00Z</dcterms:modified>
</cp:coreProperties>
</file>